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0DF7F8B"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23</w:t>
      </w:r>
      <w:r w:rsidRPr="005C4F72">
        <w:rPr>
          <w:lang w:val="de-DE"/>
        </w:rPr>
        <w:tab/>
      </w:r>
      <w:r w:rsidRPr="00412F0B">
        <w:rPr>
          <w:szCs w:val="24"/>
          <w:lang w:val="de-DE"/>
        </w:rPr>
        <w:t>R</w:t>
      </w:r>
      <w:r w:rsidR="00EE066B">
        <w:rPr>
          <w:szCs w:val="24"/>
          <w:lang w:val="de-DE"/>
        </w:rPr>
        <w:t>1</w:t>
      </w:r>
      <w:r w:rsidRPr="00412F0B">
        <w:rPr>
          <w:szCs w:val="24"/>
          <w:lang w:val="de-DE"/>
        </w:rPr>
        <w:t>-</w:t>
      </w:r>
      <w:r w:rsidR="00242B52" w:rsidRPr="00412F0B">
        <w:rPr>
          <w:szCs w:val="24"/>
          <w:lang w:val="de-DE"/>
        </w:rPr>
        <w:t>25</w:t>
      </w:r>
      <w:r w:rsidR="00955EAB">
        <w:rPr>
          <w:szCs w:val="24"/>
          <w:lang w:val="de-DE"/>
        </w:rPr>
        <w:t>08651</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615CF816"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11</w:t>
      </w:r>
      <w:r w:rsidR="007C5CCB">
        <w:rPr>
          <w:rFonts w:ascii="Times New Roman" w:hAnsi="Times New Roman"/>
          <w:b/>
          <w:bCs/>
          <w:sz w:val="24"/>
          <w:lang w:val="en-US"/>
        </w:rPr>
        <w:t>.</w:t>
      </w:r>
      <w:r w:rsidR="00F77B2C">
        <w:rPr>
          <w:rFonts w:ascii="Times New Roman" w:hAnsi="Times New Roman"/>
          <w:b/>
          <w:bCs/>
          <w:sz w:val="24"/>
          <w:lang w:val="en-US"/>
        </w:rPr>
        <w:t>3</w:t>
      </w:r>
      <w:r w:rsidR="007C5CCB">
        <w:rPr>
          <w:rFonts w:ascii="Times New Roman" w:hAnsi="Times New Roman"/>
          <w:b/>
          <w:bCs/>
          <w:sz w:val="24"/>
          <w:lang w:val="en-US"/>
        </w:rPr>
        <w:t>.</w:t>
      </w:r>
      <w:r w:rsidR="00F77B2C">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7FD605E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F77B2C">
        <w:rPr>
          <w:b/>
          <w:bCs/>
          <w:sz w:val="24"/>
          <w:lang w:val="en-US"/>
        </w:rPr>
        <w:t>6GR frame structure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2B6036FC" w14:textId="285F851E" w:rsidR="00316C41" w:rsidRPr="00316C41" w:rsidRDefault="00316C41" w:rsidP="00842443">
      <w:pPr>
        <w:rPr>
          <w:sz w:val="24"/>
          <w:szCs w:val="22"/>
        </w:rPr>
      </w:pPr>
      <w:r w:rsidRPr="00316C41">
        <w:rPr>
          <w:szCs w:val="22"/>
        </w:rPr>
        <w:t>RAN approved SI on 6G Radio in RAN#108 meeting [1]. The approved 6G Radio study item aims to enable higher performance, flexibility, scalability and new use cases.</w:t>
      </w:r>
    </w:p>
    <w:p w14:paraId="23AD584C" w14:textId="483B70B9" w:rsidR="0091669A" w:rsidRDefault="00F77B2C" w:rsidP="00842443">
      <w:r>
        <w:t>This contribution discusses the following issues on 6GR frame structure</w:t>
      </w:r>
      <w:r w:rsidR="00316C41">
        <w:t xml:space="preserve"> based on suggested workplan in [2]</w:t>
      </w:r>
      <w:r>
        <w:t>:</w:t>
      </w:r>
    </w:p>
    <w:p w14:paraId="72618DCA" w14:textId="12766FC5" w:rsidR="002540A0" w:rsidRDefault="00316C41" w:rsidP="002540A0">
      <w:pPr>
        <w:pStyle w:val="ListParagraph"/>
        <w:numPr>
          <w:ilvl w:val="0"/>
          <w:numId w:val="40"/>
        </w:numPr>
      </w:pPr>
      <w:r>
        <w:t>Numerolog</w:t>
      </w:r>
      <w:r w:rsidR="003B424A">
        <w:t>y aspects</w:t>
      </w:r>
      <w:r>
        <w:t>, including CP type</w:t>
      </w:r>
      <w:r w:rsidR="00EE56C1">
        <w:t>(</w:t>
      </w:r>
      <w:r>
        <w:t>s</w:t>
      </w:r>
      <w:r w:rsidR="00EE56C1">
        <w:t>)</w:t>
      </w:r>
      <w:r>
        <w:t>.</w:t>
      </w:r>
    </w:p>
    <w:p w14:paraId="3FB0321D" w14:textId="33F48FBF" w:rsidR="002540A0" w:rsidRPr="00F77B2C" w:rsidRDefault="002540A0" w:rsidP="00316C41">
      <w:pPr>
        <w:pStyle w:val="StyleListParagraph-BulletsLista1"/>
        <w:numPr>
          <w:ilvl w:val="0"/>
          <w:numId w:val="40"/>
        </w:numPr>
      </w:pPr>
      <w:r w:rsidRPr="00F77B2C">
        <w:t xml:space="preserve">Frame </w:t>
      </w:r>
      <w:r w:rsidR="00316C41">
        <w:t>structure aspects, including frame format configuration, slot and scheduling unit.</w:t>
      </w:r>
    </w:p>
    <w:p w14:paraId="1FAF30B1" w14:textId="64FBB342" w:rsidR="002540A0" w:rsidRDefault="002540A0" w:rsidP="002540A0">
      <w:pPr>
        <w:pStyle w:val="ListParagraph"/>
        <w:numPr>
          <w:ilvl w:val="0"/>
          <w:numId w:val="40"/>
        </w:numPr>
      </w:pPr>
      <w:r w:rsidRPr="00F77B2C">
        <w:t>MRSS</w:t>
      </w:r>
      <w:r w:rsidR="003B424A">
        <w:t xml:space="preserve"> aspects.</w:t>
      </w:r>
    </w:p>
    <w:p w14:paraId="38E544A5" w14:textId="4F7A9BEF" w:rsidR="00773F15" w:rsidRDefault="008C4A13" w:rsidP="00773F15">
      <w:pPr>
        <w:pStyle w:val="Heading1"/>
        <w:pBdr>
          <w:top w:val="single" w:sz="12" w:space="5" w:color="auto"/>
        </w:pBdr>
        <w:spacing w:after="120"/>
      </w:pPr>
      <w:r>
        <w:t>Numerologies</w:t>
      </w:r>
    </w:p>
    <w:p w14:paraId="5E9A97BC" w14:textId="6F2EAC2D" w:rsidR="00897BC6" w:rsidRPr="006469CE" w:rsidRDefault="00897BC6" w:rsidP="00482F01">
      <w:pPr>
        <w:rPr>
          <w:b/>
          <w:bCs/>
          <w:u w:val="single"/>
        </w:rPr>
      </w:pPr>
      <w:r w:rsidRPr="006469CE">
        <w:rPr>
          <w:b/>
          <w:bCs/>
          <w:u w:val="single"/>
        </w:rPr>
        <w:t xml:space="preserve">CP </w:t>
      </w:r>
      <w:r w:rsidR="006469CE" w:rsidRPr="006469CE">
        <w:rPr>
          <w:b/>
          <w:bCs/>
          <w:u w:val="single"/>
        </w:rPr>
        <w:t>types</w:t>
      </w:r>
    </w:p>
    <w:p w14:paraId="73C1495D" w14:textId="6943727C" w:rsidR="006469CE" w:rsidRDefault="006469CE" w:rsidP="00482F01">
      <w:r>
        <w:t>RAN1 agreed the following in RAN1#122:</w:t>
      </w:r>
    </w:p>
    <w:tbl>
      <w:tblPr>
        <w:tblStyle w:val="TableGrid"/>
        <w:tblW w:w="0" w:type="auto"/>
        <w:tblLook w:val="04A0" w:firstRow="1" w:lastRow="0" w:firstColumn="1" w:lastColumn="0" w:noHBand="0" w:noVBand="1"/>
      </w:tblPr>
      <w:tblGrid>
        <w:gridCol w:w="9629"/>
      </w:tblGrid>
      <w:tr w:rsidR="006469CE" w14:paraId="399051B4" w14:textId="77777777" w:rsidTr="006469CE">
        <w:tc>
          <w:tcPr>
            <w:tcW w:w="9629" w:type="dxa"/>
          </w:tcPr>
          <w:p w14:paraId="583C24FC" w14:textId="77777777" w:rsidR="006469CE" w:rsidRPr="00316C41" w:rsidRDefault="006469CE" w:rsidP="006469CE">
            <w:pPr>
              <w:spacing w:after="0"/>
              <w:rPr>
                <w:rFonts w:eastAsia="DengXian"/>
              </w:rPr>
            </w:pPr>
            <w:r w:rsidRPr="00316C41">
              <w:rPr>
                <w:rFonts w:eastAsia="DengXian" w:hint="eastAsia"/>
              </w:rPr>
              <w:t>Agreement</w:t>
            </w:r>
          </w:p>
          <w:p w14:paraId="1663BCED" w14:textId="77777777" w:rsidR="006469CE" w:rsidRDefault="006469CE" w:rsidP="006469CE">
            <w:pPr>
              <w:pStyle w:val="ListParagraph"/>
              <w:numPr>
                <w:ilvl w:val="0"/>
                <w:numId w:val="41"/>
              </w:numPr>
              <w:rPr>
                <w:rFonts w:eastAsia="DengXian"/>
                <w:szCs w:val="20"/>
                <w:lang w:eastAsia="zh-CN"/>
              </w:rPr>
            </w:pPr>
            <w:r>
              <w:rPr>
                <w:rFonts w:eastAsia="DengXian" w:hint="eastAsia"/>
                <w:szCs w:val="20"/>
                <w:lang w:eastAsia="zh-CN"/>
              </w:rPr>
              <w:t>6GR supports normal cyclic prefix, i.e., same as the normal CP defined in NR.</w:t>
            </w:r>
          </w:p>
          <w:p w14:paraId="10D0E93C" w14:textId="32B69E96" w:rsidR="006469CE" w:rsidRPr="006469CE" w:rsidRDefault="006469CE" w:rsidP="00482F01">
            <w:pPr>
              <w:pStyle w:val="ListParagraph"/>
              <w:numPr>
                <w:ilvl w:val="1"/>
                <w:numId w:val="41"/>
              </w:numPr>
              <w:rPr>
                <w:rFonts w:eastAsia="DengXian"/>
                <w:bCs/>
                <w:szCs w:val="20"/>
                <w:lang w:eastAsia="zh-CN"/>
              </w:rPr>
            </w:pPr>
            <w:r>
              <w:rPr>
                <w:rFonts w:eastAsia="DengXian"/>
                <w:bCs/>
                <w:szCs w:val="20"/>
                <w:lang w:eastAsia="zh-CN"/>
              </w:rPr>
              <w:t>FFS p</w:t>
            </w:r>
            <w:r>
              <w:rPr>
                <w:rFonts w:eastAsia="DengXian"/>
                <w:bCs/>
                <w:szCs w:val="20"/>
              </w:rPr>
              <w:t xml:space="preserve">otential </w:t>
            </w:r>
            <w:r>
              <w:rPr>
                <w:rFonts w:eastAsia="DengXian"/>
                <w:bCs/>
                <w:szCs w:val="20"/>
                <w:lang w:eastAsia="zh-CN"/>
              </w:rPr>
              <w:t>need for</w:t>
            </w:r>
            <w:r>
              <w:rPr>
                <w:rFonts w:eastAsia="DengXian"/>
                <w:bCs/>
                <w:szCs w:val="20"/>
              </w:rPr>
              <w:t xml:space="preserve"> </w:t>
            </w:r>
            <w:r>
              <w:rPr>
                <w:rFonts w:eastAsia="DengXian"/>
                <w:bCs/>
                <w:szCs w:val="20"/>
                <w:lang w:eastAsia="zh-CN"/>
              </w:rPr>
              <w:t xml:space="preserve">other </w:t>
            </w:r>
            <w:r>
              <w:rPr>
                <w:rFonts w:eastAsia="DengXian"/>
                <w:bCs/>
                <w:szCs w:val="20"/>
              </w:rPr>
              <w:t>CP</w:t>
            </w:r>
          </w:p>
        </w:tc>
      </w:tr>
    </w:tbl>
    <w:p w14:paraId="794681A3" w14:textId="441B8846" w:rsidR="00380AAA" w:rsidRDefault="006469CE" w:rsidP="006469CE">
      <w:pPr>
        <w:spacing w:before="240"/>
      </w:pPr>
      <w:r>
        <w:t xml:space="preserve">The agreement contains an FFS item on potential need for other CP. Such other CP could be justified if the delay spread can exceed the CP length in a practical deployment scenario. </w:t>
      </w:r>
      <w:r w:rsidR="00EE56C1">
        <w:t>This</w:t>
      </w:r>
      <w:r w:rsidR="00AC4EFC">
        <w:t xml:space="preserve"> situation can arise if 60 kHz SCS is utilized in FR1 and for this reason </w:t>
      </w:r>
      <w:r>
        <w:t>NR</w:t>
      </w:r>
      <w:r w:rsidR="00AC4EFC">
        <w:t xml:space="preserve"> supports</w:t>
      </w:r>
      <w:r>
        <w:t xml:space="preserve"> extended CP</w:t>
      </w:r>
      <w:r w:rsidR="00AC4EFC">
        <w:t xml:space="preserve"> for this SCS. However, following RAN1#122bis agreement, </w:t>
      </w:r>
      <w:r w:rsidR="00380AAA">
        <w:t xml:space="preserve">one assumes that </w:t>
      </w:r>
      <w:r w:rsidR="00AC4EFC">
        <w:t>6GR supports SCS of at most 30 kHz up to around 7GHz</w:t>
      </w:r>
      <w:r w:rsidR="00380AAA">
        <w:t xml:space="preserve"> and thus this case does not occur in 6GR. Support for a longer CP is not justified by NTN deployment either based on the analysis provided in [3] (section 7.3.5.2.2). </w:t>
      </w:r>
    </w:p>
    <w:p w14:paraId="123E6BB1" w14:textId="36912508" w:rsidR="006469CE" w:rsidRPr="00380AAA" w:rsidRDefault="006469CE" w:rsidP="00380AAA">
      <w:r w:rsidRPr="00191FF4">
        <w:rPr>
          <w:b/>
          <w:bCs/>
          <w:u w:val="single"/>
        </w:rPr>
        <w:t>Proposal 1</w:t>
      </w:r>
      <w:r w:rsidRPr="00191FF4">
        <w:rPr>
          <w:b/>
          <w:bCs/>
        </w:rPr>
        <w:t>:</w:t>
      </w:r>
      <w:r w:rsidRPr="006469CE">
        <w:rPr>
          <w:b/>
          <w:bCs/>
          <w:i/>
          <w:iCs/>
        </w:rPr>
        <w:t xml:space="preserve"> </w:t>
      </w:r>
      <w:r w:rsidRPr="00191FF4">
        <w:rPr>
          <w:i/>
          <w:iCs/>
        </w:rPr>
        <w:t>6GR only supports normal CP length for communication.</w:t>
      </w:r>
    </w:p>
    <w:p w14:paraId="17543F38" w14:textId="443407D0" w:rsidR="00C45264" w:rsidRDefault="00C45264" w:rsidP="00C45264">
      <w:pPr>
        <w:pStyle w:val="Heading1"/>
        <w:pBdr>
          <w:top w:val="single" w:sz="12" w:space="5" w:color="auto"/>
        </w:pBdr>
        <w:spacing w:after="120"/>
      </w:pPr>
      <w:r>
        <w:t xml:space="preserve">Frame </w:t>
      </w:r>
      <w:r w:rsidR="00191FF4">
        <w:t>structure</w:t>
      </w:r>
    </w:p>
    <w:p w14:paraId="2408C75D" w14:textId="2A3ACF84" w:rsidR="00191FF4" w:rsidRDefault="00191FF4" w:rsidP="00191FF4">
      <w:pPr>
        <w:pStyle w:val="Heading2"/>
        <w:overflowPunct/>
        <w:autoSpaceDE/>
        <w:autoSpaceDN/>
        <w:adjustRightInd/>
        <w:textAlignment w:val="auto"/>
      </w:pPr>
      <w:r>
        <w:t>Frame format configuration/indications</w:t>
      </w:r>
    </w:p>
    <w:p w14:paraId="4AD5B109" w14:textId="6E23D8D1" w:rsidR="00191FF4" w:rsidRPr="00C666C2" w:rsidRDefault="00191FF4" w:rsidP="00191FF4">
      <w:pPr>
        <w:rPr>
          <w:szCs w:val="22"/>
        </w:rPr>
      </w:pPr>
      <w:r w:rsidRPr="00C666C2">
        <w:rPr>
          <w:szCs w:val="22"/>
        </w:rPr>
        <w:t xml:space="preserve">TDD has been used in majority of the 5G-NR spectrum especially for higher frequency bands. It is expected that 6GR can use same bands as 5G-NR in FR1 and FR2, and additional bands in FR3 will be TDD bands. In 5G-NR, dynamic TDD has been introduced from the first release to address issues caused by fixed TDD configuration including inflexibility of DL/UL resource adaptation based of traffic situation, uplink coverage handling, as well as the latency issue. However, the use of dynamic TDD may be limited to a private network in 5G due to the difficulty of handling inter-cell cross-link interference. In a later release, gNB semi-static SBFD was extensively studied and specified. In addition to providing the same benefits as dynamic TDD, SBFD results in more stable inter-cell cross-link interference and thus may be better suited to multi-cell environments at the cost of requiring a specific implementation at the network side to minimize self-interference. </w:t>
      </w:r>
    </w:p>
    <w:p w14:paraId="02F58548" w14:textId="0949A2C5" w:rsidR="00191FF4" w:rsidRPr="00C666C2" w:rsidRDefault="00191FF4" w:rsidP="00191FF4">
      <w:pPr>
        <w:rPr>
          <w:rFonts w:eastAsia="Malgun Gothic"/>
          <w:szCs w:val="22"/>
          <w:lang w:eastAsia="ko-KR"/>
        </w:rPr>
      </w:pPr>
      <w:r w:rsidRPr="00C666C2">
        <w:rPr>
          <w:rFonts w:eastAsia="Malgun Gothic"/>
          <w:b/>
          <w:bCs/>
          <w:szCs w:val="22"/>
          <w:lang w:eastAsia="ko-KR"/>
        </w:rPr>
        <w:lastRenderedPageBreak/>
        <w:t xml:space="preserve">Observation </w:t>
      </w:r>
      <w:r w:rsidR="00C666C2">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00316C41" w:rsidRPr="00EE56C1">
        <w:rPr>
          <w:rFonts w:eastAsia="Malgun Gothic"/>
          <w:i/>
          <w:iCs/>
          <w:szCs w:val="22"/>
          <w:lang w:eastAsia="ko-KR"/>
        </w:rPr>
        <w:t>S</w:t>
      </w:r>
      <w:r w:rsidRPr="00EE56C1">
        <w:rPr>
          <w:rFonts w:eastAsia="Malgun Gothic"/>
          <w:i/>
          <w:iCs/>
          <w:szCs w:val="22"/>
          <w:lang w:eastAsia="ko-KR"/>
        </w:rPr>
        <w:t>upporting flexible allocation of DL/UL resources is important to meet higher performance targets of 6GR.</w:t>
      </w:r>
    </w:p>
    <w:p w14:paraId="2006DAEC" w14:textId="77777777" w:rsidR="00191FF4" w:rsidRPr="00C666C2" w:rsidRDefault="00191FF4" w:rsidP="00191FF4">
      <w:pPr>
        <w:rPr>
          <w:szCs w:val="22"/>
        </w:rPr>
      </w:pPr>
      <w:r w:rsidRPr="00C666C2">
        <w:rPr>
          <w:szCs w:val="22"/>
        </w:rPr>
        <w:t xml:space="preserve">As in 5G-NR, a network option of having control to adapt uplink and downlink resource in a flexible manner seems to be an important feature to be supported in 6GR considering that a large amount of spectrum is unpaired. In addition, if we see the potential benefits of dynamic TDD and SBFD, it should be supported from 6G Day-1 to make the feature deployable without backward compatibility issues. In RAN1#122 meeting, the following agreement was made for 6GR duplexing study, where RAN1 considers at least the duplex types of FD-FDD, Semi-static TDD, gNB semi-static SBFD, HD-FDD on UE side, and Dynamic TDD, which are all retained from 5G-NR supported scenarios. </w:t>
      </w:r>
    </w:p>
    <w:tbl>
      <w:tblPr>
        <w:tblStyle w:val="TableGrid"/>
        <w:tblW w:w="0" w:type="auto"/>
        <w:tblLook w:val="04A0" w:firstRow="1" w:lastRow="0" w:firstColumn="1" w:lastColumn="0" w:noHBand="0" w:noVBand="1"/>
      </w:tblPr>
      <w:tblGrid>
        <w:gridCol w:w="9350"/>
      </w:tblGrid>
      <w:tr w:rsidR="00191FF4" w14:paraId="12EF25DD" w14:textId="77777777" w:rsidTr="00DD5B30">
        <w:tc>
          <w:tcPr>
            <w:tcW w:w="9350" w:type="dxa"/>
          </w:tcPr>
          <w:p w14:paraId="42095951" w14:textId="77777777" w:rsidR="00191FF4" w:rsidRPr="00C666C2" w:rsidRDefault="00191FF4" w:rsidP="00DD5B30">
            <w:pPr>
              <w:rPr>
                <w:rFonts w:eastAsia="DengXian"/>
                <w:szCs w:val="22"/>
              </w:rPr>
            </w:pPr>
            <w:r w:rsidRPr="00C666C2">
              <w:rPr>
                <w:rFonts w:eastAsia="DengXian"/>
                <w:b/>
                <w:bCs/>
                <w:szCs w:val="22"/>
              </w:rPr>
              <w:t>Agreement</w:t>
            </w:r>
            <w:r w:rsidRPr="00C666C2">
              <w:rPr>
                <w:rFonts w:eastAsia="DengXian"/>
                <w:szCs w:val="22"/>
              </w:rPr>
              <w:t>@RAN1#122</w:t>
            </w:r>
          </w:p>
          <w:p w14:paraId="7BB45123" w14:textId="77777777" w:rsidR="00191FF4" w:rsidRPr="00C666C2" w:rsidRDefault="00191FF4" w:rsidP="00191FF4">
            <w:pPr>
              <w:numPr>
                <w:ilvl w:val="0"/>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 xml:space="preserve">Study and identify </w:t>
            </w:r>
            <w:r w:rsidRPr="00C666C2">
              <w:rPr>
                <w:rFonts w:ascii="Times" w:eastAsia="Batang" w:hAnsi="Times"/>
                <w:szCs w:val="22"/>
                <w:lang w:eastAsia="x-none"/>
              </w:rPr>
              <w:t xml:space="preserve">the </w:t>
            </w:r>
            <w:r w:rsidRPr="00C666C2">
              <w:rPr>
                <w:rFonts w:eastAsia="Batang"/>
                <w:szCs w:val="22"/>
                <w:lang w:eastAsia="x-none"/>
              </w:rPr>
              <w:t>lessons learned from NR</w:t>
            </w:r>
            <w:r w:rsidRPr="00C666C2">
              <w:rPr>
                <w:rFonts w:eastAsia="DengXian"/>
                <w:szCs w:val="22"/>
              </w:rPr>
              <w:t xml:space="preserve"> </w:t>
            </w:r>
            <w:r w:rsidRPr="00C666C2">
              <w:rPr>
                <w:rFonts w:eastAsia="Batang"/>
                <w:szCs w:val="22"/>
                <w:lang w:eastAsia="x-none"/>
              </w:rPr>
              <w:t>duplex modes</w:t>
            </w:r>
          </w:p>
          <w:p w14:paraId="4F99AE50" w14:textId="77777777" w:rsidR="00191FF4" w:rsidRPr="00C666C2" w:rsidRDefault="00191FF4" w:rsidP="00191FF4">
            <w:pPr>
              <w:numPr>
                <w:ilvl w:val="0"/>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On 6GR duplexing study, RAN1 considers at least following duplex types</w:t>
            </w:r>
          </w:p>
          <w:p w14:paraId="55C123FA"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FD-FDD</w:t>
            </w:r>
          </w:p>
          <w:p w14:paraId="6D8E23C1"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Semi-static TDD</w:t>
            </w:r>
          </w:p>
          <w:p w14:paraId="00FE9F93"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gNB semi-static SBFD</w:t>
            </w:r>
          </w:p>
          <w:p w14:paraId="433C72A4"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HD-FDD on UE side</w:t>
            </w:r>
          </w:p>
          <w:p w14:paraId="0106C5D0"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Dynamic TDD</w:t>
            </w:r>
          </w:p>
          <w:p w14:paraId="7BDF7F65" w14:textId="77777777" w:rsidR="00191FF4" w:rsidRPr="00C666C2" w:rsidRDefault="00191FF4" w:rsidP="00191FF4">
            <w:pPr>
              <w:numPr>
                <w:ilvl w:val="0"/>
                <w:numId w:val="43"/>
              </w:numPr>
              <w:overflowPunct/>
              <w:autoSpaceDE/>
              <w:autoSpaceDN/>
              <w:adjustRightInd/>
              <w:spacing w:after="0"/>
              <w:contextualSpacing/>
              <w:textAlignment w:val="auto"/>
              <w:rPr>
                <w:rFonts w:eastAsia="Batang"/>
                <w:szCs w:val="22"/>
                <w:lang w:eastAsia="x-none"/>
              </w:rPr>
            </w:pPr>
            <w:r w:rsidRPr="00C666C2">
              <w:rPr>
                <w:rFonts w:eastAsia="DengXian"/>
                <w:szCs w:val="22"/>
              </w:rPr>
              <w:t>Study</w:t>
            </w:r>
            <w:r w:rsidRPr="00C666C2">
              <w:rPr>
                <w:rFonts w:eastAsia="Batang"/>
                <w:szCs w:val="22"/>
                <w:lang w:eastAsia="x-none"/>
              </w:rPr>
              <w:t xml:space="preserve"> whether to consider following duplexing types</w:t>
            </w:r>
          </w:p>
          <w:p w14:paraId="482746CB"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gNB dynamic SBFD</w:t>
            </w:r>
          </w:p>
          <w:p w14:paraId="25D3BDED"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UE SBFD</w:t>
            </w:r>
          </w:p>
          <w:p w14:paraId="472A0151"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gNB FD</w:t>
            </w:r>
          </w:p>
          <w:p w14:paraId="3181608F" w14:textId="77777777" w:rsidR="00191FF4" w:rsidRPr="00C666C2" w:rsidRDefault="00191FF4" w:rsidP="00191FF4">
            <w:pPr>
              <w:numPr>
                <w:ilvl w:val="1"/>
                <w:numId w:val="43"/>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Note: Other duplex modes are not precluded</w:t>
            </w:r>
          </w:p>
          <w:p w14:paraId="4B622983" w14:textId="6F137D11" w:rsidR="00191FF4" w:rsidRPr="00C666C2" w:rsidRDefault="00191FF4" w:rsidP="00DD5B30">
            <w:pPr>
              <w:tabs>
                <w:tab w:val="left" w:pos="432"/>
                <w:tab w:val="left" w:pos="1152"/>
              </w:tabs>
              <w:spacing w:before="240" w:after="60"/>
              <w:outlineLvl w:val="5"/>
              <w:rPr>
                <w:rFonts w:eastAsia="DengXian"/>
                <w:b/>
                <w:bCs/>
                <w:i/>
                <w:szCs w:val="22"/>
              </w:rPr>
            </w:pPr>
            <w:r w:rsidRPr="00C666C2">
              <w:rPr>
                <w:rFonts w:eastAsia="DengXian" w:hint="eastAsia"/>
                <w:b/>
                <w:bCs/>
                <w:iCs/>
                <w:szCs w:val="22"/>
              </w:rPr>
              <w:t>[106] FL proposal</w:t>
            </w:r>
            <w:r w:rsidRPr="00C666C2">
              <w:rPr>
                <w:rFonts w:eastAsia="DengXian"/>
                <w:szCs w:val="22"/>
              </w:rPr>
              <w:t>@RAN1#122bis [</w:t>
            </w:r>
            <w:r w:rsidR="001B4487">
              <w:rPr>
                <w:rFonts w:eastAsia="DengXian"/>
                <w:szCs w:val="22"/>
              </w:rPr>
              <w:t>2</w:t>
            </w:r>
            <w:r w:rsidRPr="00C666C2">
              <w:rPr>
                <w:rFonts w:eastAsia="DengXian"/>
                <w:szCs w:val="22"/>
              </w:rPr>
              <w:t>]</w:t>
            </w:r>
          </w:p>
          <w:p w14:paraId="0FDF5F15" w14:textId="77777777" w:rsidR="00191FF4" w:rsidRPr="00C666C2" w:rsidRDefault="00191FF4" w:rsidP="00191FF4">
            <w:pPr>
              <w:numPr>
                <w:ilvl w:val="0"/>
                <w:numId w:val="41"/>
              </w:numPr>
              <w:overflowPunct/>
              <w:autoSpaceDE/>
              <w:autoSpaceDN/>
              <w:adjustRightInd/>
              <w:spacing w:after="0"/>
              <w:jc w:val="left"/>
              <w:textAlignment w:val="auto"/>
              <w:rPr>
                <w:rFonts w:ascii="Times" w:eastAsia="DengXian" w:hAnsi="Times"/>
                <w:szCs w:val="22"/>
              </w:rPr>
            </w:pPr>
            <w:r w:rsidRPr="00C666C2">
              <w:rPr>
                <w:rFonts w:ascii="Times" w:eastAsia="DengXian" w:hAnsi="Times" w:hint="eastAsia"/>
                <w:szCs w:val="22"/>
              </w:rPr>
              <w:t>For the study of 6GR f</w:t>
            </w:r>
            <w:r w:rsidRPr="00C666C2">
              <w:rPr>
                <w:rFonts w:ascii="Times" w:eastAsia="DengXian" w:hAnsi="Times"/>
                <w:szCs w:val="22"/>
              </w:rPr>
              <w:t xml:space="preserve">rame </w:t>
            </w:r>
            <w:r w:rsidRPr="00C666C2">
              <w:rPr>
                <w:rFonts w:ascii="Times" w:eastAsia="DengXian" w:hAnsi="Times" w:hint="eastAsia"/>
                <w:szCs w:val="22"/>
              </w:rPr>
              <w:t>structure</w:t>
            </w:r>
            <w:r w:rsidRPr="00C666C2">
              <w:rPr>
                <w:rFonts w:ascii="Times" w:eastAsia="DengXian" w:hAnsi="Times"/>
                <w:szCs w:val="22"/>
              </w:rPr>
              <w:t xml:space="preserve"> configuration</w:t>
            </w:r>
            <w:r w:rsidRPr="00C666C2">
              <w:rPr>
                <w:rFonts w:ascii="Times" w:eastAsia="DengXian" w:hAnsi="Times" w:hint="eastAsia"/>
                <w:szCs w:val="22"/>
              </w:rPr>
              <w:t xml:space="preserve"> / </w:t>
            </w:r>
            <w:r w:rsidRPr="00C666C2">
              <w:rPr>
                <w:rFonts w:ascii="Times" w:eastAsia="DengXian" w:hAnsi="Times"/>
                <w:szCs w:val="22"/>
              </w:rPr>
              <w:t>indication</w:t>
            </w:r>
          </w:p>
          <w:p w14:paraId="074F6FF7" w14:textId="77777777" w:rsidR="00191FF4" w:rsidRPr="00C666C2" w:rsidRDefault="00191FF4" w:rsidP="00191FF4">
            <w:pPr>
              <w:numPr>
                <w:ilvl w:val="1"/>
                <w:numId w:val="41"/>
              </w:numPr>
              <w:overflowPunct/>
              <w:autoSpaceDE/>
              <w:autoSpaceDN/>
              <w:adjustRightInd/>
              <w:spacing w:after="0"/>
              <w:jc w:val="left"/>
              <w:textAlignment w:val="auto"/>
              <w:rPr>
                <w:rFonts w:ascii="Times" w:eastAsia="DengXian" w:hAnsi="Times"/>
                <w:szCs w:val="22"/>
              </w:rPr>
            </w:pPr>
            <w:r w:rsidRPr="00C666C2">
              <w:rPr>
                <w:rFonts w:ascii="Times" w:eastAsia="DengXian" w:hAnsi="Times" w:hint="eastAsia"/>
                <w:szCs w:val="22"/>
              </w:rPr>
              <w:t>Support of c</w:t>
            </w:r>
            <w:r w:rsidRPr="00C666C2">
              <w:rPr>
                <w:rFonts w:ascii="Times" w:eastAsia="DengXian" w:hAnsi="Times"/>
                <w:szCs w:val="22"/>
              </w:rPr>
              <w:t xml:space="preserve">ell and UE specific RRC configuration </w:t>
            </w:r>
          </w:p>
          <w:p w14:paraId="0D870736" w14:textId="77777777" w:rsidR="00191FF4" w:rsidRPr="00C666C2" w:rsidRDefault="00191FF4" w:rsidP="00191FF4">
            <w:pPr>
              <w:numPr>
                <w:ilvl w:val="2"/>
                <w:numId w:val="41"/>
              </w:numPr>
              <w:overflowPunct/>
              <w:autoSpaceDE/>
              <w:autoSpaceDN/>
              <w:adjustRightInd/>
              <w:spacing w:after="0"/>
              <w:jc w:val="left"/>
              <w:textAlignment w:val="auto"/>
              <w:rPr>
                <w:rFonts w:ascii="Times" w:eastAsia="DengXian" w:hAnsi="Times"/>
                <w:szCs w:val="22"/>
              </w:rPr>
            </w:pPr>
            <w:r w:rsidRPr="00C666C2">
              <w:rPr>
                <w:rFonts w:ascii="Times" w:eastAsia="DengXian" w:hAnsi="Times" w:hint="eastAsia"/>
                <w:szCs w:val="22"/>
              </w:rPr>
              <w:t xml:space="preserve">FFS </w:t>
            </w:r>
            <w:r w:rsidRPr="00C666C2">
              <w:rPr>
                <w:rFonts w:ascii="Times" w:eastAsia="DengXian" w:hAnsi="Times"/>
                <w:szCs w:val="22"/>
              </w:rPr>
              <w:t>necessity</w:t>
            </w:r>
            <w:r w:rsidRPr="00C666C2">
              <w:rPr>
                <w:rFonts w:ascii="Times" w:eastAsia="DengXian" w:hAnsi="Times" w:hint="eastAsia"/>
                <w:szCs w:val="22"/>
              </w:rPr>
              <w:t xml:space="preserve"> to remove</w:t>
            </w:r>
            <w:r w:rsidRPr="00C666C2">
              <w:rPr>
                <w:rFonts w:ascii="Times" w:eastAsia="DengXian" w:hAnsi="Times"/>
                <w:szCs w:val="22"/>
              </w:rPr>
              <w:t xml:space="preserve"> UE specific RRC configuration</w:t>
            </w:r>
          </w:p>
          <w:p w14:paraId="102C6A1A" w14:textId="77777777" w:rsidR="00191FF4" w:rsidRPr="00DD5B30" w:rsidRDefault="00191FF4" w:rsidP="00191FF4">
            <w:pPr>
              <w:numPr>
                <w:ilvl w:val="1"/>
                <w:numId w:val="41"/>
              </w:numPr>
              <w:overflowPunct/>
              <w:autoSpaceDE/>
              <w:autoSpaceDN/>
              <w:adjustRightInd/>
              <w:spacing w:after="0"/>
              <w:jc w:val="left"/>
              <w:textAlignment w:val="auto"/>
              <w:rPr>
                <w:rFonts w:ascii="Times" w:eastAsia="DengXian" w:hAnsi="Times"/>
                <w:sz w:val="20"/>
                <w:szCs w:val="24"/>
              </w:rPr>
            </w:pPr>
            <w:r w:rsidRPr="00C666C2">
              <w:rPr>
                <w:rFonts w:ascii="Times" w:eastAsia="DengXian" w:hAnsi="Times" w:hint="eastAsia"/>
                <w:szCs w:val="22"/>
              </w:rPr>
              <w:t>Support of m</w:t>
            </w:r>
            <w:r w:rsidRPr="00C666C2">
              <w:rPr>
                <w:rFonts w:ascii="Times" w:eastAsia="DengXian" w:hAnsi="Times"/>
                <w:szCs w:val="22"/>
              </w:rPr>
              <w:t>ultiple</w:t>
            </w:r>
            <w:r w:rsidRPr="00C666C2">
              <w:rPr>
                <w:rFonts w:ascii="Times" w:eastAsia="DengXian" w:hAnsi="Times" w:hint="eastAsia"/>
                <w:szCs w:val="22"/>
              </w:rPr>
              <w:t xml:space="preserve"> TDD</w:t>
            </w:r>
            <w:r w:rsidRPr="00C666C2">
              <w:rPr>
                <w:rFonts w:ascii="Times" w:eastAsia="DengXian" w:hAnsi="Times"/>
                <w:szCs w:val="22"/>
              </w:rPr>
              <w:t>-pattern combinations</w:t>
            </w:r>
            <w:r w:rsidRPr="00C666C2">
              <w:rPr>
                <w:rFonts w:ascii="Times" w:eastAsia="DengXian" w:hAnsi="Times" w:hint="eastAsia"/>
                <w:szCs w:val="22"/>
              </w:rPr>
              <w:t>, i.e., similar to NR</w:t>
            </w:r>
          </w:p>
        </w:tc>
      </w:tr>
    </w:tbl>
    <w:p w14:paraId="7B8C4E85" w14:textId="77777777" w:rsidR="00191FF4" w:rsidRDefault="00191FF4" w:rsidP="00191FF4">
      <w:pPr>
        <w:spacing w:after="0"/>
        <w:rPr>
          <w:sz w:val="20"/>
        </w:rPr>
      </w:pPr>
    </w:p>
    <w:p w14:paraId="50AD5035" w14:textId="7FA78FBE" w:rsidR="00191FF4" w:rsidRPr="00C666C2" w:rsidRDefault="00191FF4" w:rsidP="00191FF4">
      <w:pPr>
        <w:rPr>
          <w:b/>
          <w:bCs/>
          <w:szCs w:val="22"/>
          <w:u w:val="single"/>
        </w:rPr>
      </w:pPr>
      <w:r w:rsidRPr="00C666C2">
        <w:rPr>
          <w:b/>
          <w:bCs/>
          <w:szCs w:val="22"/>
          <w:u w:val="single"/>
        </w:rPr>
        <w:t>Frame format configurations/indications with “new symbol/slot type”</w:t>
      </w:r>
    </w:p>
    <w:p w14:paraId="23EADFE4" w14:textId="1841214C" w:rsidR="00191FF4" w:rsidRPr="00C666C2" w:rsidRDefault="00191FF4" w:rsidP="00191FF4">
      <w:pPr>
        <w:rPr>
          <w:szCs w:val="22"/>
        </w:rPr>
      </w:pPr>
      <w:r w:rsidRPr="00C666C2">
        <w:rPr>
          <w:szCs w:val="22"/>
        </w:rPr>
        <w:t>As noted in the FL summary [</w:t>
      </w:r>
      <w:r w:rsidR="001B4487">
        <w:rPr>
          <w:szCs w:val="22"/>
        </w:rPr>
        <w:t>2</w:t>
      </w:r>
      <w:r w:rsidRPr="00C666C2">
        <w:rPr>
          <w:szCs w:val="22"/>
        </w:rPr>
        <w:t xml:space="preserve">] in the last meeting, shown above, further enhancements on frame format configurations/indications including “new symbol/slot type” for SBFD and forward-compatible duplexing need to be discussed, to enable native SBFD support and ensure flexibility for future duplex extensions. We support introducing a new symbol/slot type (“X” type) in 6GR. In NR, SBFD </w:t>
      </w:r>
      <w:r w:rsidR="00316C41">
        <w:rPr>
          <w:szCs w:val="22"/>
        </w:rPr>
        <w:t>is</w:t>
      </w:r>
      <w:r w:rsidRPr="00C666C2">
        <w:rPr>
          <w:szCs w:val="22"/>
        </w:rPr>
        <w:t xml:space="preserve"> realized by overriding portions of DL (‘D’) or Flexible (‘F’) symbols through additional RRC configuration parameters. While functional, this design duplicate</w:t>
      </w:r>
      <w:r w:rsidR="00EE56C1">
        <w:rPr>
          <w:szCs w:val="22"/>
        </w:rPr>
        <w:t>s</w:t>
      </w:r>
      <w:r w:rsidRPr="00C666C2">
        <w:rPr>
          <w:szCs w:val="22"/>
        </w:rPr>
        <w:t xml:space="preserve"> signaling elements and create</w:t>
      </w:r>
      <w:r w:rsidR="00EE56C1">
        <w:rPr>
          <w:szCs w:val="22"/>
        </w:rPr>
        <w:t>s</w:t>
      </w:r>
      <w:r w:rsidRPr="00C666C2">
        <w:rPr>
          <w:szCs w:val="22"/>
        </w:rPr>
        <w:t xml:space="preserve"> redundant RRC definitions such as the independent SBFD subband signaling on top of the separately signalled DL-UL pattern configuration (e.g., </w:t>
      </w:r>
      <w:r w:rsidRPr="00C666C2">
        <w:rPr>
          <w:i/>
          <w:iCs/>
          <w:szCs w:val="22"/>
        </w:rPr>
        <w:t>TDD-UL-DL-ConfigCommon</w:t>
      </w:r>
      <w:r w:rsidRPr="00C666C2">
        <w:rPr>
          <w:szCs w:val="22"/>
        </w:rPr>
        <w:t>).</w:t>
      </w:r>
    </w:p>
    <w:p w14:paraId="049BF11E" w14:textId="6DE88EEB" w:rsidR="00191FF4" w:rsidRPr="00C666C2" w:rsidRDefault="00191FF4" w:rsidP="00191FF4">
      <w:pPr>
        <w:rPr>
          <w:szCs w:val="22"/>
        </w:rPr>
      </w:pPr>
      <w:r w:rsidRPr="00C666C2">
        <w:rPr>
          <w:szCs w:val="22"/>
        </w:rPr>
        <w:t xml:space="preserve">In 6GR, a cleaner and more scalable approach is to define three primary symbol/slot types, i.e., ‘D’, ‘U’, ‘X’, where D and U follow conventional downlink and uplink directions, and X represents resources associated with configurations of frequency-domain DL and UL subbands. Such native ‘X’ symbol/slot type naturally supports at least semi-static SBFD without the need for per-symbol overrides, reducing signaling overhead and eliminating any potential ambiguity or collision handling cases, much </w:t>
      </w:r>
      <w:r w:rsidR="001B4487">
        <w:rPr>
          <w:szCs w:val="22"/>
        </w:rPr>
        <w:t xml:space="preserve">more </w:t>
      </w:r>
      <w:r w:rsidRPr="00C666C2">
        <w:rPr>
          <w:szCs w:val="22"/>
        </w:rPr>
        <w:t>efficiently compared with legacy configurations.</w:t>
      </w:r>
    </w:p>
    <w:p w14:paraId="6D7DC3B8" w14:textId="77777777" w:rsidR="00191FF4" w:rsidRPr="00C666C2" w:rsidRDefault="00191FF4" w:rsidP="00191FF4">
      <w:pPr>
        <w:rPr>
          <w:szCs w:val="22"/>
        </w:rPr>
      </w:pPr>
      <w:r w:rsidRPr="00C666C2">
        <w:rPr>
          <w:szCs w:val="22"/>
        </w:rPr>
        <w:t>This approach allows the SBFD operation to be incorporated as a Day-1 feature of 6GR, rather than an add-on as in NR Rel-19 SBFD. Moreover, by defining ‘X’ as a generalizable resource type, the same framework remains forward-compatible with future duplex concepts, e.g., dynamic-TDD, dynamic-SBFD, or hybrid UL/DL resource adaptation whenever such operations are explicitly configured by the network. In this sense, introducing ‘X’ provides benefits in both immediate simplification and future extensibility within a unified signaling structure.</w:t>
      </w:r>
    </w:p>
    <w:p w14:paraId="0CCA500D" w14:textId="7529AC8A" w:rsidR="00191FF4" w:rsidRPr="00C666C2" w:rsidRDefault="00191FF4" w:rsidP="00191FF4">
      <w:pPr>
        <w:rPr>
          <w:rFonts w:eastAsia="Malgun Gothic"/>
          <w:szCs w:val="22"/>
          <w:lang w:eastAsia="ko-KR"/>
        </w:rPr>
      </w:pPr>
      <w:r w:rsidRPr="00C666C2">
        <w:rPr>
          <w:rFonts w:eastAsia="Malgun Gothic"/>
          <w:b/>
          <w:bCs/>
          <w:szCs w:val="22"/>
          <w:lang w:eastAsia="ko-KR"/>
        </w:rPr>
        <w:lastRenderedPageBreak/>
        <w:t xml:space="preserve">Observation </w:t>
      </w:r>
      <w:r w:rsidR="00C666C2">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C666C2">
        <w:rPr>
          <w:rFonts w:eastAsia="Malgun Gothic"/>
          <w:i/>
          <w:iCs/>
          <w:szCs w:val="22"/>
          <w:lang w:eastAsia="ko-KR"/>
        </w:rPr>
        <w:t>Defining a distinct ‘X’ symbol/slot type enables native SBFD operation and a unified signaling structure for 6GR, simplifying NR Rel-19’s override-based design and providing forward compatibility toward dynamic duplex schemes.</w:t>
      </w:r>
    </w:p>
    <w:p w14:paraId="486DACE8" w14:textId="40E882B2" w:rsidR="00191FF4" w:rsidRPr="00C666C2" w:rsidRDefault="00191FF4" w:rsidP="00191FF4">
      <w:pPr>
        <w:rPr>
          <w:rFonts w:eastAsia="Malgun Gothic"/>
          <w:b/>
          <w:bCs/>
          <w:i/>
          <w:iCs/>
          <w:szCs w:val="22"/>
          <w:lang w:eastAsia="ko-KR"/>
        </w:rPr>
      </w:pPr>
      <w:r w:rsidRPr="00C666C2">
        <w:rPr>
          <w:rFonts w:eastAsia="Malgun Gothic"/>
          <w:b/>
          <w:bCs/>
          <w:szCs w:val="22"/>
          <w:u w:val="single"/>
          <w:lang w:eastAsia="ko-KR"/>
        </w:rPr>
        <w:t xml:space="preserve">Proposal </w:t>
      </w:r>
      <w:r w:rsidR="00C666C2">
        <w:rPr>
          <w:rFonts w:eastAsia="Malgun Gothic"/>
          <w:b/>
          <w:bCs/>
          <w:szCs w:val="22"/>
          <w:u w:val="single"/>
          <w:lang w:eastAsia="ko-KR"/>
        </w:rPr>
        <w:t>2</w:t>
      </w:r>
      <w:r w:rsidRPr="00C666C2">
        <w:rPr>
          <w:rFonts w:eastAsia="Malgun Gothic"/>
          <w:b/>
          <w:bCs/>
          <w:szCs w:val="22"/>
          <w:lang w:eastAsia="ko-KR"/>
        </w:rPr>
        <w:t>:</w:t>
      </w:r>
      <w:r w:rsidRPr="00C666C2">
        <w:rPr>
          <w:rFonts w:eastAsia="Malgun Gothic"/>
          <w:b/>
          <w:bCs/>
          <w:i/>
          <w:iCs/>
          <w:szCs w:val="22"/>
          <w:lang w:eastAsia="ko-KR"/>
        </w:rPr>
        <w:t xml:space="preserve"> </w:t>
      </w:r>
      <w:r w:rsidRPr="00C666C2">
        <w:rPr>
          <w:rFonts w:eastAsia="Malgun Gothic"/>
          <w:i/>
          <w:iCs/>
          <w:szCs w:val="22"/>
          <w:lang w:eastAsia="ko-KR"/>
        </w:rPr>
        <w:t>Support three primary symbol/slot types (‘D’, ‘U’, ‘X’) in 6GR frame format configuration or indication, to natively support SBFD and ensure extensibility to dynamic-TDD and dynamic-SBFD operations</w:t>
      </w:r>
      <w:r w:rsidRPr="00C666C2">
        <w:rPr>
          <w:rFonts w:eastAsia="Malgun Gothic" w:hint="eastAsia"/>
          <w:i/>
          <w:iCs/>
          <w:szCs w:val="22"/>
          <w:lang w:eastAsia="ko-KR"/>
        </w:rPr>
        <w:t>.</w:t>
      </w:r>
    </w:p>
    <w:p w14:paraId="328F243D" w14:textId="71661EB3" w:rsidR="00191FF4" w:rsidRPr="00C666C2" w:rsidRDefault="00C666C2" w:rsidP="00191FF4">
      <w:pPr>
        <w:rPr>
          <w:b/>
          <w:bCs/>
          <w:szCs w:val="22"/>
          <w:u w:val="single"/>
        </w:rPr>
      </w:pPr>
      <w:r w:rsidRPr="00C666C2">
        <w:rPr>
          <w:b/>
          <w:bCs/>
          <w:szCs w:val="22"/>
          <w:u w:val="single"/>
        </w:rPr>
        <w:t>D</w:t>
      </w:r>
      <w:r w:rsidR="00191FF4" w:rsidRPr="00C666C2">
        <w:rPr>
          <w:b/>
          <w:bCs/>
          <w:szCs w:val="22"/>
          <w:u w:val="single"/>
        </w:rPr>
        <w:t>ynamic</w:t>
      </w:r>
      <w:r>
        <w:rPr>
          <w:b/>
          <w:bCs/>
          <w:szCs w:val="22"/>
          <w:u w:val="single"/>
        </w:rPr>
        <w:t xml:space="preserve"> </w:t>
      </w:r>
      <w:r w:rsidR="00191FF4" w:rsidRPr="00C666C2">
        <w:rPr>
          <w:b/>
          <w:bCs/>
          <w:szCs w:val="22"/>
          <w:u w:val="single"/>
        </w:rPr>
        <w:t>TDD and dynamic</w:t>
      </w:r>
      <w:r>
        <w:rPr>
          <w:b/>
          <w:bCs/>
          <w:szCs w:val="22"/>
          <w:u w:val="single"/>
        </w:rPr>
        <w:t xml:space="preserve"> </w:t>
      </w:r>
      <w:r w:rsidR="00191FF4" w:rsidRPr="00C666C2">
        <w:rPr>
          <w:b/>
          <w:bCs/>
          <w:szCs w:val="22"/>
          <w:u w:val="single"/>
        </w:rPr>
        <w:t>SBFD</w:t>
      </w:r>
    </w:p>
    <w:p w14:paraId="582C4194" w14:textId="58FF06E8" w:rsidR="00191FF4" w:rsidRPr="00C666C2" w:rsidRDefault="00191FF4" w:rsidP="00191FF4">
      <w:pPr>
        <w:rPr>
          <w:szCs w:val="22"/>
        </w:rPr>
      </w:pPr>
      <w:r w:rsidRPr="00C666C2">
        <w:rPr>
          <w:szCs w:val="22"/>
        </w:rPr>
        <w:t>We provide SLS results comparing performance among duplex types to be at least considered, captured in the agreement, such as Semi-static TDD (Scheme 1), Dynamic TDD (Scheme 2), and gNB semi-static SBFD (Scheme 3). We focus on an outdoor UMa scenario that utilizes a clustered dropping of UEs. The simulation assumptions are based on those provided in section 7 of [</w:t>
      </w:r>
      <w:r w:rsidR="001D5C19">
        <w:rPr>
          <w:szCs w:val="22"/>
        </w:rPr>
        <w:t>5</w:t>
      </w:r>
      <w:r w:rsidRPr="00C666C2">
        <w:rPr>
          <w:szCs w:val="22"/>
        </w:rPr>
        <w:t>]. We considered the following schemes:</w:t>
      </w:r>
    </w:p>
    <w:p w14:paraId="34DCADE6" w14:textId="77777777" w:rsidR="00191FF4" w:rsidRPr="00C666C2" w:rsidRDefault="00191FF4" w:rsidP="00191FF4">
      <w:pPr>
        <w:numPr>
          <w:ilvl w:val="0"/>
          <w:numId w:val="42"/>
        </w:numPr>
        <w:contextualSpacing/>
        <w:rPr>
          <w:rFonts w:eastAsia="Times New Roman"/>
          <w:szCs w:val="22"/>
        </w:rPr>
      </w:pPr>
      <w:r w:rsidRPr="00C666C2">
        <w:rPr>
          <w:rFonts w:eastAsia="Times New Roman"/>
          <w:b/>
          <w:bCs/>
          <w:szCs w:val="22"/>
          <w:u w:val="single"/>
        </w:rPr>
        <w:t>Scheme 1</w:t>
      </w:r>
      <w:r w:rsidRPr="00C666C2">
        <w:rPr>
          <w:rFonts w:eastAsia="Times New Roman"/>
          <w:szCs w:val="22"/>
        </w:rPr>
        <w:t>: Baseline (fixed) TDD where all cells follow a fixed “DDDSU’ TDD configuration, where D denotes DL only slot, U denotes UL only slot and ‘S’ slot (DL: GAP: UL) = (10:2:2) is used for DL only.</w:t>
      </w:r>
    </w:p>
    <w:p w14:paraId="11080FF2" w14:textId="77777777" w:rsidR="00191FF4" w:rsidRPr="00C666C2" w:rsidRDefault="00191FF4" w:rsidP="00191FF4">
      <w:pPr>
        <w:numPr>
          <w:ilvl w:val="0"/>
          <w:numId w:val="42"/>
        </w:numPr>
        <w:contextualSpacing/>
        <w:rPr>
          <w:rFonts w:eastAsia="Times New Roman"/>
          <w:szCs w:val="22"/>
        </w:rPr>
      </w:pPr>
      <w:r w:rsidRPr="00C666C2">
        <w:rPr>
          <w:rFonts w:eastAsia="Times New Roman"/>
          <w:b/>
          <w:bCs/>
          <w:szCs w:val="22"/>
          <w:u w:val="single"/>
        </w:rPr>
        <w:t>Scheme 2:</w:t>
      </w:r>
      <w:r w:rsidRPr="00C666C2">
        <w:rPr>
          <w:rFonts w:eastAsia="Times New Roman"/>
          <w:szCs w:val="22"/>
        </w:rPr>
        <w:t xml:space="preserve"> Dynamic TDD operation with ‘DDFFU’ configuration, where D and U slots are as defined above, and F slot can be used for DL or UL based on traffic. </w:t>
      </w:r>
    </w:p>
    <w:p w14:paraId="7D588403" w14:textId="77777777" w:rsidR="00191FF4" w:rsidRPr="00C666C2" w:rsidRDefault="00191FF4" w:rsidP="00191FF4">
      <w:pPr>
        <w:numPr>
          <w:ilvl w:val="0"/>
          <w:numId w:val="42"/>
        </w:numPr>
        <w:contextualSpacing/>
        <w:rPr>
          <w:rFonts w:eastAsia="Times New Roman"/>
          <w:szCs w:val="22"/>
        </w:rPr>
      </w:pPr>
      <w:r w:rsidRPr="00C666C2">
        <w:rPr>
          <w:rFonts w:eastAsia="Times New Roman"/>
          <w:b/>
          <w:bCs/>
          <w:szCs w:val="22"/>
          <w:u w:val="single"/>
        </w:rPr>
        <w:t>Scheme 3</w:t>
      </w:r>
      <w:r w:rsidRPr="00C666C2">
        <w:rPr>
          <w:rFonts w:eastAsia="Times New Roman"/>
          <w:szCs w:val="22"/>
        </w:rPr>
        <w:t>: Semi-static SBFD (Rel-19) with 20% UL subband resource in ‘X’ slot, with frame structure (XXXXU)</w:t>
      </w:r>
    </w:p>
    <w:p w14:paraId="47CD63C5" w14:textId="77777777" w:rsidR="00191FF4" w:rsidRPr="00C666C2" w:rsidRDefault="00191FF4" w:rsidP="00191FF4">
      <w:pPr>
        <w:spacing w:after="0"/>
        <w:rPr>
          <w:szCs w:val="22"/>
        </w:rPr>
      </w:pPr>
    </w:p>
    <w:p w14:paraId="2D795FFF" w14:textId="515C946A" w:rsidR="00191FF4" w:rsidRPr="00C666C2" w:rsidRDefault="00191FF4" w:rsidP="00191FF4">
      <w:pPr>
        <w:rPr>
          <w:szCs w:val="22"/>
        </w:rPr>
      </w:pPr>
      <w:r w:rsidRPr="00C666C2">
        <w:rPr>
          <w:szCs w:val="22"/>
        </w:rPr>
        <w:t>We compare the relative DL and UL performance of the schemes based on mean and 5%-ile DL and UL UPT. The throughputs are normalized with respect to Scheme 1 (Baseline TDD). Figure 3</w:t>
      </w:r>
      <w:r w:rsidR="00B700CF">
        <w:rPr>
          <w:szCs w:val="22"/>
        </w:rPr>
        <w:t>.1-1</w:t>
      </w:r>
      <w:r w:rsidRPr="00C666C2">
        <w:rPr>
          <w:szCs w:val="22"/>
        </w:rPr>
        <w:t>a shows that performance of Baseline and Dynamic TDD are similar for mean DL UPT. Semi-static SBFD performs considerably worse than TDD, with losses ranging from ~25% at low load, to 40% at high loads. Figure 3</w:t>
      </w:r>
      <w:r w:rsidR="00B700CF">
        <w:rPr>
          <w:szCs w:val="22"/>
        </w:rPr>
        <w:t>.1-1</w:t>
      </w:r>
      <w:r w:rsidRPr="00C666C2">
        <w:rPr>
          <w:szCs w:val="22"/>
        </w:rPr>
        <w:t>b shows similar performance for both TDD schemes at low load. As load increases DL 5%-ile UPT for dynamic TDD degrades, with losses of ~ 13% at medium load and 20% at high load. For semi-static SBFD, however, the performance loss for 5%-ile is significantly worse (over 80% and up to 90 % at high load). This performance loss is a direct result of the UE-UE CLI which are exacerbated by the inter and intra subband SBFD interference.</w:t>
      </w:r>
    </w:p>
    <w:p w14:paraId="246494E7" w14:textId="77777777" w:rsidR="00191FF4" w:rsidRPr="00C666C2" w:rsidRDefault="00191FF4" w:rsidP="00191FF4">
      <w:pPr>
        <w:jc w:val="center"/>
        <w:rPr>
          <w:szCs w:val="22"/>
        </w:rPr>
      </w:pPr>
      <w:r w:rsidRPr="00C666C2">
        <w:rPr>
          <w:szCs w:val="22"/>
        </w:rPr>
        <w:t xml:space="preserve"> </w:t>
      </w:r>
      <w:r w:rsidRPr="00C666C2">
        <w:rPr>
          <w:noProof/>
          <w:szCs w:val="22"/>
        </w:rPr>
        <w:drawing>
          <wp:inline distT="0" distB="0" distL="0" distR="0" wp14:anchorId="285CE89E" wp14:editId="0F54BDC8">
            <wp:extent cx="2606040" cy="2039112"/>
            <wp:effectExtent l="0" t="0" r="3810" b="0"/>
            <wp:docPr id="2138794601"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94601" name="Picture 4" descr="A graph of different colored bar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6040" cy="2039112"/>
                    </a:xfrm>
                    <a:prstGeom prst="rect">
                      <a:avLst/>
                    </a:prstGeom>
                    <a:noFill/>
                    <a:ln>
                      <a:noFill/>
                    </a:ln>
                  </pic:spPr>
                </pic:pic>
              </a:graphicData>
            </a:graphic>
          </wp:inline>
        </w:drawing>
      </w:r>
      <w:r w:rsidRPr="00C666C2">
        <w:rPr>
          <w:noProof/>
          <w:szCs w:val="22"/>
        </w:rPr>
        <w:drawing>
          <wp:inline distT="0" distB="0" distL="0" distR="0" wp14:anchorId="410166F7" wp14:editId="6DD7EC3E">
            <wp:extent cx="2817197" cy="2041995"/>
            <wp:effectExtent l="0" t="0" r="2540" b="0"/>
            <wp:docPr id="1450910576" name="Picture 3"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10576" name="Picture 3" descr="A graph of different colored bar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830" cy="2067823"/>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91FF4" w:rsidRPr="00C666C2" w14:paraId="239360D6" w14:textId="77777777" w:rsidTr="00DD5B30">
        <w:tc>
          <w:tcPr>
            <w:tcW w:w="4675" w:type="dxa"/>
          </w:tcPr>
          <w:p w14:paraId="41B11E89" w14:textId="0D48C9CD" w:rsidR="00191FF4" w:rsidRPr="00C666C2" w:rsidRDefault="00191FF4" w:rsidP="00DD5B30">
            <w:pPr>
              <w:jc w:val="center"/>
              <w:rPr>
                <w:szCs w:val="22"/>
              </w:rPr>
            </w:pPr>
            <w:r w:rsidRPr="00316C41">
              <w:rPr>
                <w:b/>
                <w:bCs/>
                <w:szCs w:val="22"/>
              </w:rPr>
              <w:t>Figure 3</w:t>
            </w:r>
            <w:r w:rsidR="00B700CF" w:rsidRPr="00316C41">
              <w:rPr>
                <w:b/>
                <w:bCs/>
                <w:szCs w:val="22"/>
              </w:rPr>
              <w:t>.1-1</w:t>
            </w:r>
            <w:r w:rsidRPr="00316C41">
              <w:rPr>
                <w:b/>
                <w:bCs/>
                <w:szCs w:val="22"/>
              </w:rPr>
              <w:t>a</w:t>
            </w:r>
            <w:r w:rsidR="00B700CF" w:rsidRPr="00316C41">
              <w:rPr>
                <w:b/>
                <w:bCs/>
                <w:szCs w:val="22"/>
              </w:rPr>
              <w:t>.</w:t>
            </w:r>
            <w:r w:rsidRPr="00C666C2">
              <w:rPr>
                <w:szCs w:val="22"/>
              </w:rPr>
              <w:t xml:space="preserve"> </w:t>
            </w:r>
            <w:r w:rsidRPr="00316C41">
              <w:rPr>
                <w:b/>
                <w:bCs/>
                <w:szCs w:val="22"/>
              </w:rPr>
              <w:t>DL mean UPT for various schemes</w:t>
            </w:r>
          </w:p>
        </w:tc>
        <w:tc>
          <w:tcPr>
            <w:tcW w:w="4675" w:type="dxa"/>
          </w:tcPr>
          <w:p w14:paraId="42ED4596" w14:textId="3C7262A3" w:rsidR="00191FF4" w:rsidRPr="00C666C2" w:rsidRDefault="00191FF4" w:rsidP="00DD5B30">
            <w:pPr>
              <w:jc w:val="center"/>
              <w:rPr>
                <w:szCs w:val="22"/>
              </w:rPr>
            </w:pPr>
            <w:r w:rsidRPr="00316C41">
              <w:rPr>
                <w:b/>
                <w:bCs/>
                <w:szCs w:val="22"/>
              </w:rPr>
              <w:t>Figure 3</w:t>
            </w:r>
            <w:r w:rsidR="00B700CF" w:rsidRPr="00316C41">
              <w:rPr>
                <w:b/>
                <w:bCs/>
                <w:szCs w:val="22"/>
              </w:rPr>
              <w:t>.1-1</w:t>
            </w:r>
            <w:r w:rsidRPr="00316C41">
              <w:rPr>
                <w:b/>
                <w:bCs/>
                <w:szCs w:val="22"/>
              </w:rPr>
              <w:t>b</w:t>
            </w:r>
            <w:r w:rsidR="00B700CF" w:rsidRPr="00316C41">
              <w:rPr>
                <w:szCs w:val="22"/>
              </w:rPr>
              <w:t>.</w:t>
            </w:r>
            <w:r w:rsidRPr="00C666C2">
              <w:rPr>
                <w:szCs w:val="22"/>
              </w:rPr>
              <w:t xml:space="preserve"> </w:t>
            </w:r>
            <w:r w:rsidRPr="00316C41">
              <w:rPr>
                <w:b/>
                <w:bCs/>
                <w:szCs w:val="22"/>
              </w:rPr>
              <w:t>DL 5%-ile UPT for various schemes</w:t>
            </w:r>
          </w:p>
        </w:tc>
      </w:tr>
    </w:tbl>
    <w:p w14:paraId="67F6C74F" w14:textId="77777777" w:rsidR="00191FF4" w:rsidRPr="00C666C2" w:rsidRDefault="00191FF4" w:rsidP="00191FF4">
      <w:pPr>
        <w:rPr>
          <w:szCs w:val="22"/>
        </w:rPr>
      </w:pPr>
    </w:p>
    <w:p w14:paraId="01490C2D" w14:textId="77777777" w:rsidR="00191FF4" w:rsidRPr="00C666C2" w:rsidRDefault="00191FF4" w:rsidP="00191FF4">
      <w:pPr>
        <w:jc w:val="center"/>
        <w:rPr>
          <w:szCs w:val="22"/>
        </w:rPr>
      </w:pPr>
      <w:r w:rsidRPr="00C666C2">
        <w:rPr>
          <w:noProof/>
          <w:szCs w:val="22"/>
        </w:rPr>
        <w:lastRenderedPageBreak/>
        <w:drawing>
          <wp:inline distT="0" distB="0" distL="0" distR="0" wp14:anchorId="0F8EF08D" wp14:editId="63202E93">
            <wp:extent cx="2724912" cy="1975104"/>
            <wp:effectExtent l="0" t="0" r="0" b="6350"/>
            <wp:docPr id="1475664441" name="Picture 5"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64441" name="Picture 5" descr="A graph of different colored bar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24912" cy="1975104"/>
                    </a:xfrm>
                    <a:prstGeom prst="rect">
                      <a:avLst/>
                    </a:prstGeom>
                    <a:noFill/>
                    <a:ln>
                      <a:noFill/>
                    </a:ln>
                  </pic:spPr>
                </pic:pic>
              </a:graphicData>
            </a:graphic>
          </wp:inline>
        </w:drawing>
      </w:r>
      <w:r w:rsidRPr="00C666C2">
        <w:rPr>
          <w:szCs w:val="22"/>
        </w:rPr>
        <w:t xml:space="preserve">  </w:t>
      </w:r>
      <w:r w:rsidRPr="00C666C2">
        <w:rPr>
          <w:noProof/>
          <w:szCs w:val="22"/>
        </w:rPr>
        <w:drawing>
          <wp:inline distT="0" distB="0" distL="0" distR="0" wp14:anchorId="4A769726" wp14:editId="42915B41">
            <wp:extent cx="2592019" cy="1944014"/>
            <wp:effectExtent l="0" t="0" r="0" b="0"/>
            <wp:docPr id="1500650872" name="Picture 7"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50872" name="Picture 7" descr="A graph of different colored bar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4295" cy="1945721"/>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91FF4" w:rsidRPr="00C666C2" w14:paraId="08098DC7" w14:textId="77777777" w:rsidTr="00DD5B30">
        <w:tc>
          <w:tcPr>
            <w:tcW w:w="4675" w:type="dxa"/>
          </w:tcPr>
          <w:p w14:paraId="6A64D218" w14:textId="7300719D" w:rsidR="00191FF4" w:rsidRPr="00C666C2" w:rsidRDefault="00191FF4" w:rsidP="00DD5B30">
            <w:pPr>
              <w:jc w:val="center"/>
              <w:rPr>
                <w:szCs w:val="22"/>
              </w:rPr>
            </w:pPr>
            <w:r w:rsidRPr="00316C41">
              <w:rPr>
                <w:b/>
                <w:bCs/>
                <w:szCs w:val="22"/>
              </w:rPr>
              <w:t xml:space="preserve">Figure </w:t>
            </w:r>
            <w:r w:rsidR="00B700CF" w:rsidRPr="00316C41">
              <w:rPr>
                <w:b/>
                <w:bCs/>
                <w:szCs w:val="22"/>
              </w:rPr>
              <w:t>3.1-2</w:t>
            </w:r>
            <w:r w:rsidRPr="00316C41">
              <w:rPr>
                <w:b/>
                <w:bCs/>
                <w:szCs w:val="22"/>
              </w:rPr>
              <w:t>a</w:t>
            </w:r>
            <w:r w:rsidR="00B700CF" w:rsidRPr="00316C41">
              <w:rPr>
                <w:b/>
                <w:bCs/>
                <w:szCs w:val="22"/>
              </w:rPr>
              <w:t>.</w:t>
            </w:r>
            <w:r w:rsidRPr="00C666C2">
              <w:rPr>
                <w:szCs w:val="22"/>
              </w:rPr>
              <w:t xml:space="preserve"> </w:t>
            </w:r>
            <w:r w:rsidRPr="00316C41">
              <w:rPr>
                <w:b/>
                <w:bCs/>
                <w:szCs w:val="22"/>
              </w:rPr>
              <w:t>UL mean UPT for various schemes</w:t>
            </w:r>
          </w:p>
        </w:tc>
        <w:tc>
          <w:tcPr>
            <w:tcW w:w="4675" w:type="dxa"/>
          </w:tcPr>
          <w:p w14:paraId="38DCC1F4" w14:textId="73139A9B" w:rsidR="00191FF4" w:rsidRPr="00C666C2" w:rsidRDefault="00191FF4" w:rsidP="00DD5B30">
            <w:pPr>
              <w:jc w:val="center"/>
              <w:rPr>
                <w:szCs w:val="22"/>
              </w:rPr>
            </w:pPr>
            <w:r w:rsidRPr="00316C41">
              <w:rPr>
                <w:b/>
                <w:bCs/>
                <w:szCs w:val="22"/>
              </w:rPr>
              <w:t xml:space="preserve">Figure </w:t>
            </w:r>
            <w:r w:rsidR="00B700CF" w:rsidRPr="00316C41">
              <w:rPr>
                <w:b/>
                <w:bCs/>
                <w:szCs w:val="22"/>
              </w:rPr>
              <w:t>3.1-2</w:t>
            </w:r>
            <w:r w:rsidRPr="00316C41">
              <w:rPr>
                <w:b/>
                <w:bCs/>
                <w:szCs w:val="22"/>
              </w:rPr>
              <w:t>b</w:t>
            </w:r>
            <w:r w:rsidR="00B700CF" w:rsidRPr="00316C41">
              <w:rPr>
                <w:b/>
                <w:bCs/>
                <w:szCs w:val="22"/>
              </w:rPr>
              <w:t>.</w:t>
            </w:r>
            <w:r w:rsidRPr="00C666C2">
              <w:rPr>
                <w:szCs w:val="22"/>
              </w:rPr>
              <w:t xml:space="preserve"> </w:t>
            </w:r>
            <w:r w:rsidRPr="00316C41">
              <w:rPr>
                <w:b/>
                <w:bCs/>
                <w:szCs w:val="22"/>
              </w:rPr>
              <w:t>UL 5%-ile UPT for various schemes</w:t>
            </w:r>
          </w:p>
        </w:tc>
      </w:tr>
    </w:tbl>
    <w:p w14:paraId="7190C07D" w14:textId="77777777" w:rsidR="00191FF4" w:rsidRPr="00C666C2" w:rsidRDefault="00191FF4" w:rsidP="00191FF4">
      <w:pPr>
        <w:rPr>
          <w:szCs w:val="22"/>
        </w:rPr>
      </w:pPr>
    </w:p>
    <w:p w14:paraId="59357A43" w14:textId="0C89228E" w:rsidR="00191FF4" w:rsidRPr="00C666C2" w:rsidRDefault="00191FF4" w:rsidP="00191FF4">
      <w:pPr>
        <w:rPr>
          <w:szCs w:val="22"/>
        </w:rPr>
      </w:pPr>
      <w:r w:rsidRPr="00C666C2">
        <w:rPr>
          <w:szCs w:val="22"/>
        </w:rPr>
        <w:t xml:space="preserve">Figure </w:t>
      </w:r>
      <w:r w:rsidR="00B700CF">
        <w:rPr>
          <w:szCs w:val="22"/>
        </w:rPr>
        <w:t>3.1-2</w:t>
      </w:r>
      <w:r w:rsidRPr="00C666C2">
        <w:rPr>
          <w:szCs w:val="22"/>
        </w:rPr>
        <w:t xml:space="preserve">a shows considerable mean UL UPT gains for dynamic TDD vs. both baseline TDD as well semi-static SBFD, and shows a mean UL UPT gain (~13% at low load) for semi-static SBFD over the baseline TDD. Figure </w:t>
      </w:r>
      <w:r w:rsidR="00B700CF">
        <w:rPr>
          <w:szCs w:val="22"/>
        </w:rPr>
        <w:t>3.1-2</w:t>
      </w:r>
      <w:r w:rsidRPr="00C666C2">
        <w:rPr>
          <w:szCs w:val="22"/>
        </w:rPr>
        <w:t xml:space="preserve">b shows that dynamic TDD outperforms all other schemes at low and medium loads, with comparable performance to baseline TDD at high loads.  </w:t>
      </w:r>
    </w:p>
    <w:p w14:paraId="73A04A1B" w14:textId="3007EBA2" w:rsidR="00191FF4" w:rsidRPr="00C666C2" w:rsidRDefault="00191FF4" w:rsidP="00191FF4">
      <w:pPr>
        <w:rPr>
          <w:rFonts w:eastAsia="Malgun Gothic"/>
          <w:i/>
          <w:iCs/>
          <w:szCs w:val="22"/>
          <w:lang w:eastAsia="ko-KR"/>
        </w:rPr>
      </w:pPr>
      <w:r w:rsidRPr="00C666C2">
        <w:rPr>
          <w:rFonts w:eastAsia="Malgun Gothic"/>
          <w:b/>
          <w:bCs/>
          <w:szCs w:val="22"/>
          <w:u w:val="single"/>
          <w:lang w:eastAsia="ko-KR"/>
        </w:rPr>
        <w:t xml:space="preserve">Proposal </w:t>
      </w:r>
      <w:r w:rsidR="00C666C2" w:rsidRPr="00C666C2">
        <w:rPr>
          <w:rFonts w:eastAsia="Malgun Gothic"/>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 at least dynamic TDD and gNB semi-static SBFD for 6G Day-1</w:t>
      </w:r>
      <w:r w:rsidRPr="00C666C2">
        <w:rPr>
          <w:rFonts w:eastAsia="Malgun Gothic" w:hint="eastAsia"/>
          <w:i/>
          <w:iCs/>
          <w:szCs w:val="22"/>
          <w:lang w:eastAsia="ko-KR"/>
        </w:rPr>
        <w:t>.</w:t>
      </w:r>
    </w:p>
    <w:p w14:paraId="1E38166F" w14:textId="22716C16" w:rsidR="001D5C19" w:rsidRPr="00EE56C1" w:rsidRDefault="001D5C19" w:rsidP="001D5C19">
      <w:pPr>
        <w:rPr>
          <w:szCs w:val="22"/>
        </w:rPr>
      </w:pPr>
      <w:r w:rsidRPr="00EE56C1">
        <w:rPr>
          <w:szCs w:val="22"/>
        </w:rPr>
        <w:t>In NR, dynamic TDD is supported by UE receiving a slot format indicator (SFI) from DCI format 2_0. The SFI indicates a slot format (out of 56 possible formats or from RRC-configured slot format) for each of a sequence of slots. The SFI signaling provides high flexibility which has not been exploited so far in practical NR deployments. For 6GR, a simpler mechanism can be considered to support dynamic TDD. For example, indicating a frame pattern from a limited number of patterns as suggested in [4] seems to provide a reasonable balance between flexibility and complexity.</w:t>
      </w:r>
    </w:p>
    <w:p w14:paraId="68C16854" w14:textId="0CD2C42A" w:rsidR="001D5C19" w:rsidRPr="00EE56C1" w:rsidRDefault="001D5C19" w:rsidP="001D5C19">
      <w:pPr>
        <w:rPr>
          <w:rFonts w:eastAsia="Malgun Gothic"/>
          <w:b/>
          <w:bCs/>
          <w:i/>
          <w:iCs/>
          <w:szCs w:val="22"/>
          <w:lang w:eastAsia="ko-KR"/>
        </w:rPr>
      </w:pPr>
      <w:r w:rsidRPr="00EE56C1">
        <w:rPr>
          <w:rFonts w:eastAsia="Malgun Gothic"/>
          <w:b/>
          <w:bCs/>
          <w:szCs w:val="22"/>
          <w:u w:val="single"/>
          <w:lang w:eastAsia="ko-KR"/>
        </w:rPr>
        <w:t xml:space="preserve">Proposal </w:t>
      </w:r>
      <w:r w:rsidR="008A0CFA" w:rsidRPr="00EE56C1">
        <w:rPr>
          <w:rFonts w:eastAsia="Malgun Gothic"/>
          <w:b/>
          <w:bCs/>
          <w:szCs w:val="22"/>
          <w:u w:val="single"/>
          <w:lang w:eastAsia="ko-KR"/>
        </w:rPr>
        <w:t>4</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Support dynamic indication o</w:t>
      </w:r>
      <w:r w:rsidR="00697EB0" w:rsidRPr="00EE56C1">
        <w:rPr>
          <w:rFonts w:eastAsia="Malgun Gothic"/>
          <w:i/>
          <w:iCs/>
          <w:szCs w:val="22"/>
          <w:lang w:eastAsia="ko-KR"/>
        </w:rPr>
        <w:t xml:space="preserve">f frame pattern for dynamic TDD. </w:t>
      </w:r>
    </w:p>
    <w:p w14:paraId="3D5439F9" w14:textId="093D6E54" w:rsidR="001D5C19" w:rsidRPr="00EE56C1" w:rsidRDefault="00697EB0" w:rsidP="00191FF4">
      <w:pPr>
        <w:rPr>
          <w:rFonts w:eastAsia="Malgun Gothic"/>
          <w:szCs w:val="22"/>
          <w:lang w:eastAsia="ko-KR"/>
        </w:rPr>
      </w:pPr>
      <w:r w:rsidRPr="00EE56C1">
        <w:rPr>
          <w:rFonts w:eastAsia="Malgun Gothic"/>
          <w:szCs w:val="22"/>
          <w:lang w:eastAsia="ko-KR"/>
        </w:rPr>
        <w:t xml:space="preserve">NR supports UE-specific UL-DL configuration on top of cell-specific UL-DL configuration </w:t>
      </w:r>
      <w:r w:rsidR="00157EAB" w:rsidRPr="00EE56C1">
        <w:rPr>
          <w:rFonts w:eastAsia="Malgun Gothic"/>
          <w:szCs w:val="22"/>
          <w:lang w:eastAsia="ko-KR"/>
        </w:rPr>
        <w:t xml:space="preserve">to support different UL and DL traffic demands among UEs. For the same reason, 6GR should support </w:t>
      </w:r>
      <w:r w:rsidR="00B700CF" w:rsidRPr="00EE56C1">
        <w:rPr>
          <w:rFonts w:eastAsia="Malgun Gothic"/>
          <w:szCs w:val="22"/>
          <w:lang w:eastAsia="ko-KR"/>
        </w:rPr>
        <w:t>this</w:t>
      </w:r>
      <w:r w:rsidR="00157EAB" w:rsidRPr="00EE56C1">
        <w:rPr>
          <w:rFonts w:eastAsia="Malgun Gothic"/>
          <w:szCs w:val="22"/>
          <w:lang w:eastAsia="ko-KR"/>
        </w:rPr>
        <w:t xml:space="preserve"> functionality.</w:t>
      </w:r>
    </w:p>
    <w:p w14:paraId="2CA3C8F2" w14:textId="2C35197C" w:rsidR="00157EAB" w:rsidRPr="00C666C2" w:rsidRDefault="00157EAB" w:rsidP="00157EAB">
      <w:pPr>
        <w:rPr>
          <w:rFonts w:eastAsia="Malgun Gothic"/>
          <w:b/>
          <w:bCs/>
          <w:i/>
          <w:iCs/>
          <w:szCs w:val="22"/>
          <w:lang w:eastAsia="ko-KR"/>
        </w:rPr>
      </w:pPr>
      <w:r w:rsidRPr="00EE56C1">
        <w:rPr>
          <w:rFonts w:eastAsia="Malgun Gothic"/>
          <w:b/>
          <w:bCs/>
          <w:szCs w:val="22"/>
          <w:u w:val="single"/>
          <w:lang w:eastAsia="ko-KR"/>
        </w:rPr>
        <w:t xml:space="preserve">Proposal </w:t>
      </w:r>
      <w:r w:rsidR="008A0CFA" w:rsidRPr="00EE56C1">
        <w:rPr>
          <w:rFonts w:eastAsia="Malgun Gothic"/>
          <w:b/>
          <w:bCs/>
          <w:szCs w:val="22"/>
          <w:u w:val="single"/>
          <w:lang w:eastAsia="ko-KR"/>
        </w:rPr>
        <w:t>5</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Support UE-specific configuration and indication of frame pattern.</w:t>
      </w:r>
      <w:r>
        <w:rPr>
          <w:rFonts w:eastAsia="Malgun Gothic"/>
          <w:i/>
          <w:iCs/>
          <w:szCs w:val="22"/>
          <w:lang w:eastAsia="ko-KR"/>
        </w:rPr>
        <w:t xml:space="preserve"> </w:t>
      </w:r>
    </w:p>
    <w:p w14:paraId="6747F1FB" w14:textId="141276EC" w:rsidR="00191FF4" w:rsidRPr="00C666C2" w:rsidRDefault="00191FF4" w:rsidP="00191FF4">
      <w:pPr>
        <w:rPr>
          <w:rFonts w:eastAsia="Malgun Gothic"/>
          <w:szCs w:val="22"/>
          <w:lang w:eastAsia="ko-KR"/>
        </w:rPr>
      </w:pPr>
      <w:r w:rsidRPr="00C666C2">
        <w:rPr>
          <w:rFonts w:eastAsia="Malgun Gothic"/>
          <w:szCs w:val="22"/>
          <w:lang w:eastAsia="ko-KR"/>
        </w:rPr>
        <w:t xml:space="preserve">Although gNB semi-static SBFD can address most of the issues from fixed TDD configuration, our study shows that dynamic fallback of the UL subband in SBFD slot to DL resource can enhance the system performance even further as shown in </w:t>
      </w:r>
      <w:r w:rsidRPr="00C666C2">
        <w:rPr>
          <w:rFonts w:eastAsia="Malgun Gothic" w:hint="eastAsia"/>
          <w:szCs w:val="22"/>
          <w:lang w:eastAsia="ko-KR"/>
        </w:rPr>
        <w:t>Figure</w:t>
      </w:r>
      <w:r w:rsidRPr="00C666C2">
        <w:rPr>
          <w:rFonts w:eastAsia="Malgun Gothic"/>
          <w:szCs w:val="22"/>
          <w:lang w:eastAsia="ko-KR"/>
        </w:rPr>
        <w:t xml:space="preserve"> </w:t>
      </w:r>
      <w:r w:rsidR="00F54237">
        <w:rPr>
          <w:rFonts w:eastAsia="Malgun Gothic"/>
          <w:szCs w:val="22"/>
          <w:lang w:eastAsia="ko-KR"/>
        </w:rPr>
        <w:t>3.1-3</w:t>
      </w:r>
      <w:r w:rsidRPr="00C666C2">
        <w:rPr>
          <w:rFonts w:eastAsia="Malgun Gothic"/>
          <w:szCs w:val="22"/>
          <w:lang w:eastAsia="ko-KR"/>
        </w:rPr>
        <w:t>. It is mainly because typical DL/UL traffic tends to be bursty for most applications and a single SBFD configuration cannot fit for all possible scenarios. It is observed that both DL/UL throughputs are increased when dynamic fallback of UL subband resources in SBFD slot is used. More gains are expected when flexible/dynamic adjustments of subband sizes in general are applied on UL/DL subbands, depending on traffic conditions, which require further studies. During Rel-18 discussions, one of the cited concerns for dynamic indication of SBFD resources was regarding demands on dynamic adaptation of the filters at the gNB side. However, with the control eventually residing at the network side, the speed/frequency of adaptation can be effectively controlled based on the actual capability/constraints at the gNB side while specifications can enable the signalling support for dynamic adaptations and related UE behaviour.</w:t>
      </w:r>
    </w:p>
    <w:p w14:paraId="4E1B13E8" w14:textId="77777777" w:rsidR="00191FF4" w:rsidRPr="00C666C2" w:rsidRDefault="00191FF4" w:rsidP="00191FF4">
      <w:pPr>
        <w:rPr>
          <w:noProof/>
          <w:szCs w:val="22"/>
        </w:rPr>
      </w:pPr>
      <w:r w:rsidRPr="00C666C2">
        <w:rPr>
          <w:rFonts w:eastAsia="Malgun Gothic"/>
          <w:noProof/>
          <w:szCs w:val="22"/>
          <w:lang w:eastAsia="ko-KR"/>
        </w:rPr>
        <w:lastRenderedPageBreak/>
        <w:drawing>
          <wp:inline distT="0" distB="0" distL="0" distR="0" wp14:anchorId="5D66AD45" wp14:editId="4712160B">
            <wp:extent cx="2902226" cy="2176670"/>
            <wp:effectExtent l="0" t="0" r="0" b="0"/>
            <wp:docPr id="18" name="Picture 17" descr="A graph with blue and orange bars&#10;&#10;Description automatically generated">
              <a:extLst xmlns:a="http://schemas.openxmlformats.org/drawingml/2006/main">
                <a:ext uri="{FF2B5EF4-FFF2-40B4-BE49-F238E27FC236}">
                  <a16:creationId xmlns:a16="http://schemas.microsoft.com/office/drawing/2014/main" id="{61869C79-EC81-9BB2-670F-F06DC0E7D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with blue and orange bars&#10;&#10;Description automatically generated">
                      <a:extLst>
                        <a:ext uri="{FF2B5EF4-FFF2-40B4-BE49-F238E27FC236}">
                          <a16:creationId xmlns:a16="http://schemas.microsoft.com/office/drawing/2014/main" id="{61869C79-EC81-9BB2-670F-F06DC0E7D3CE}"/>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17164" cy="2187874"/>
                    </a:xfrm>
                    <a:prstGeom prst="rect">
                      <a:avLst/>
                    </a:prstGeom>
                  </pic:spPr>
                </pic:pic>
              </a:graphicData>
            </a:graphic>
          </wp:inline>
        </w:drawing>
      </w:r>
      <w:r w:rsidRPr="00C666C2">
        <w:rPr>
          <w:noProof/>
          <w:szCs w:val="22"/>
        </w:rPr>
        <w:t xml:space="preserve"> </w:t>
      </w:r>
      <w:r w:rsidRPr="00C666C2">
        <w:rPr>
          <w:rFonts w:eastAsia="Malgun Gothic"/>
          <w:noProof/>
          <w:szCs w:val="22"/>
          <w:lang w:eastAsia="ko-KR"/>
        </w:rPr>
        <w:drawing>
          <wp:inline distT="0" distB="0" distL="0" distR="0" wp14:anchorId="1BE48601" wp14:editId="28F59E52">
            <wp:extent cx="2936680" cy="2202511"/>
            <wp:effectExtent l="0" t="0" r="0" b="7620"/>
            <wp:docPr id="19" name="Picture 18" descr="A graph with blue and orange bars&#10;&#10;Description automatically generated">
              <a:extLst xmlns:a="http://schemas.openxmlformats.org/drawingml/2006/main">
                <a:ext uri="{FF2B5EF4-FFF2-40B4-BE49-F238E27FC236}">
                  <a16:creationId xmlns:a16="http://schemas.microsoft.com/office/drawing/2014/main" id="{273F41FC-830A-2BD4-A2B3-ABFC4AA58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graph with blue and orange bars&#10;&#10;Description automatically generated">
                      <a:extLst>
                        <a:ext uri="{FF2B5EF4-FFF2-40B4-BE49-F238E27FC236}">
                          <a16:creationId xmlns:a16="http://schemas.microsoft.com/office/drawing/2014/main" id="{273F41FC-830A-2BD4-A2B3-ABFC4AA58BDF}"/>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39158" cy="2204369"/>
                    </a:xfrm>
                    <a:prstGeom prst="rect">
                      <a:avLst/>
                    </a:prstGeom>
                  </pic:spPr>
                </pic:pic>
              </a:graphicData>
            </a:graphic>
          </wp:inline>
        </w:drawing>
      </w:r>
    </w:p>
    <w:p w14:paraId="7FD7906E" w14:textId="2368F9ED" w:rsidR="00191FF4" w:rsidRPr="00316C41" w:rsidRDefault="00191FF4" w:rsidP="00191FF4">
      <w:pPr>
        <w:spacing w:after="0"/>
        <w:jc w:val="center"/>
        <w:rPr>
          <w:b/>
          <w:bCs/>
          <w:szCs w:val="22"/>
        </w:rPr>
      </w:pPr>
      <w:r w:rsidRPr="00316C41">
        <w:rPr>
          <w:b/>
          <w:bCs/>
          <w:szCs w:val="22"/>
        </w:rPr>
        <w:t xml:space="preserve">Figure </w:t>
      </w:r>
      <w:r w:rsidR="00F54237" w:rsidRPr="00316C41">
        <w:rPr>
          <w:b/>
          <w:bCs/>
          <w:szCs w:val="22"/>
        </w:rPr>
        <w:t>3.1-3</w:t>
      </w:r>
      <w:r w:rsidRPr="00316C41">
        <w:rPr>
          <w:b/>
          <w:bCs/>
          <w:szCs w:val="22"/>
        </w:rPr>
        <w:t>. Performance gain of gNB dynamic SBFD over gNB semi-static SBFD</w:t>
      </w:r>
    </w:p>
    <w:p w14:paraId="0BCCD469" w14:textId="77777777" w:rsidR="00191FF4" w:rsidRPr="00C666C2" w:rsidRDefault="00191FF4" w:rsidP="00191FF4">
      <w:pPr>
        <w:spacing w:after="0"/>
        <w:rPr>
          <w:rFonts w:eastAsia="Malgun Gothic"/>
          <w:szCs w:val="22"/>
          <w:lang w:eastAsia="ko-KR"/>
        </w:rPr>
      </w:pPr>
    </w:p>
    <w:p w14:paraId="4BFD6AC7" w14:textId="77777777" w:rsidR="00191FF4" w:rsidRPr="00C666C2" w:rsidRDefault="00191FF4" w:rsidP="00191FF4">
      <w:pPr>
        <w:rPr>
          <w:rFonts w:eastAsia="Malgun Gothic"/>
          <w:szCs w:val="22"/>
          <w:lang w:eastAsia="ko-KR"/>
        </w:rPr>
      </w:pPr>
      <w:r w:rsidRPr="00C666C2">
        <w:rPr>
          <w:rFonts w:eastAsia="Malgun Gothic"/>
          <w:szCs w:val="22"/>
          <w:lang w:eastAsia="ko-KR"/>
        </w:rPr>
        <w:t xml:space="preserve">As such, it is recommended to study dynamic adaptation of SBFD resources (i.e., gNB-side dynamic SBFD) for 6GR including performance benefit, inter-cell cross-link interference issues, and feasibility. </w:t>
      </w:r>
    </w:p>
    <w:p w14:paraId="53F63BB1" w14:textId="2FD42FFC" w:rsidR="00191FF4" w:rsidRPr="00C666C2" w:rsidRDefault="00191FF4" w:rsidP="00191FF4">
      <w:pPr>
        <w:rPr>
          <w:rFonts w:eastAsia="Malgun Gothic"/>
          <w:i/>
          <w:iCs/>
          <w:szCs w:val="22"/>
          <w:lang w:eastAsia="ko-KR"/>
        </w:rPr>
      </w:pPr>
      <w:r w:rsidRPr="00C666C2">
        <w:rPr>
          <w:rFonts w:eastAsia="Malgun Gothic"/>
          <w:b/>
          <w:bCs/>
          <w:szCs w:val="22"/>
          <w:u w:val="single"/>
          <w:lang w:eastAsia="ko-KR"/>
        </w:rPr>
        <w:t xml:space="preserve">Proposal </w:t>
      </w:r>
      <w:r w:rsidR="008A0CFA">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tudy gNB-side dynamic SBFD as a duplex enhancement scheme for 6GR</w:t>
      </w:r>
      <w:r w:rsidRPr="00C666C2">
        <w:rPr>
          <w:rFonts w:eastAsia="Malgun Gothic" w:hint="eastAsia"/>
          <w:i/>
          <w:iCs/>
          <w:szCs w:val="22"/>
          <w:lang w:eastAsia="ko-KR"/>
        </w:rPr>
        <w:t>.</w:t>
      </w:r>
    </w:p>
    <w:p w14:paraId="1C0E6E66" w14:textId="3DDD5132" w:rsidR="00191FF4" w:rsidRPr="00097667" w:rsidRDefault="00191FF4" w:rsidP="00191FF4">
      <w:pPr>
        <w:pStyle w:val="Heading2"/>
        <w:overflowPunct/>
        <w:autoSpaceDE/>
        <w:autoSpaceDN/>
        <w:adjustRightInd/>
        <w:textAlignment w:val="auto"/>
        <w:rPr>
          <w:rFonts w:eastAsia="Times New Roman"/>
          <w:u w:val="single"/>
          <w:lang w:eastAsia="en-US"/>
        </w:rPr>
      </w:pPr>
      <w:r>
        <w:t>Slot and scheduling unit</w:t>
      </w:r>
    </w:p>
    <w:p w14:paraId="55BB28F0" w14:textId="708E805A" w:rsidR="00A71361" w:rsidRPr="00A71361" w:rsidRDefault="00A71361" w:rsidP="00C45264">
      <w:r w:rsidRPr="00A71361">
        <w:t>RAN1 reached following agreement at RAN1#122bis:</w:t>
      </w:r>
    </w:p>
    <w:tbl>
      <w:tblPr>
        <w:tblStyle w:val="TableGrid"/>
        <w:tblW w:w="0" w:type="auto"/>
        <w:tblLook w:val="04A0" w:firstRow="1" w:lastRow="0" w:firstColumn="1" w:lastColumn="0" w:noHBand="0" w:noVBand="1"/>
      </w:tblPr>
      <w:tblGrid>
        <w:gridCol w:w="9629"/>
      </w:tblGrid>
      <w:tr w:rsidR="00A71361" w14:paraId="412DA8F9" w14:textId="77777777" w:rsidTr="00A71361">
        <w:tc>
          <w:tcPr>
            <w:tcW w:w="9629" w:type="dxa"/>
          </w:tcPr>
          <w:p w14:paraId="35E7CBEF" w14:textId="77777777" w:rsidR="00A71361" w:rsidRPr="004303AA" w:rsidRDefault="00A71361" w:rsidP="00A71361">
            <w:pPr>
              <w:spacing w:after="0"/>
              <w:rPr>
                <w:rFonts w:eastAsiaTheme="minorEastAsia"/>
                <w:highlight w:val="green"/>
              </w:rPr>
            </w:pPr>
            <w:r w:rsidRPr="004303AA">
              <w:rPr>
                <w:rFonts w:eastAsiaTheme="minorEastAsia" w:hint="eastAsia"/>
                <w:highlight w:val="green"/>
              </w:rPr>
              <w:t>Agreement</w:t>
            </w:r>
          </w:p>
          <w:p w14:paraId="1887512A" w14:textId="77777777" w:rsidR="00A71361" w:rsidRPr="00383A82" w:rsidRDefault="00A71361" w:rsidP="00A71361">
            <w:pPr>
              <w:spacing w:after="0"/>
              <w:rPr>
                <w:rFonts w:eastAsiaTheme="minorEastAsia"/>
                <w:lang w:val="en-US"/>
              </w:rPr>
            </w:pPr>
            <w:r w:rsidRPr="00383A82">
              <w:rPr>
                <w:rFonts w:eastAsiaTheme="minorEastAsia" w:hint="eastAsia"/>
                <w:lang w:val="en-US"/>
              </w:rPr>
              <w:t>For communication, 6GR considers NR</w:t>
            </w:r>
            <w:r w:rsidRPr="00383A82">
              <w:rPr>
                <w:rFonts w:eastAsiaTheme="minorEastAsia"/>
                <w:lang w:val="en-US"/>
              </w:rPr>
              <w:t xml:space="preserve"> frame structure used as a starting point </w:t>
            </w:r>
            <w:r w:rsidRPr="00383A82">
              <w:rPr>
                <w:rFonts w:eastAsiaTheme="minorEastAsia" w:hint="eastAsia"/>
                <w:lang w:val="en-US"/>
              </w:rPr>
              <w:t>for</w:t>
            </w:r>
            <w:r w:rsidRPr="00383A82">
              <w:rPr>
                <w:rFonts w:eastAsiaTheme="minorEastAsia"/>
                <w:lang w:val="en-US"/>
              </w:rPr>
              <w:t xml:space="preserve"> </w:t>
            </w:r>
            <w:r w:rsidRPr="00383A82">
              <w:rPr>
                <w:rFonts w:eastAsiaTheme="minorEastAsia" w:hint="eastAsia"/>
                <w:lang w:val="en-US"/>
              </w:rPr>
              <w:t>the study item,</w:t>
            </w:r>
          </w:p>
          <w:p w14:paraId="1A417AB9" w14:textId="77777777" w:rsidR="00A71361" w:rsidRPr="001C7BA1" w:rsidRDefault="00A71361" w:rsidP="00A71361">
            <w:pPr>
              <w:pStyle w:val="ListParagraph"/>
              <w:numPr>
                <w:ilvl w:val="1"/>
                <w:numId w:val="44"/>
              </w:numPr>
              <w:ind w:left="880" w:hanging="440"/>
              <w:rPr>
                <w:rFonts w:eastAsiaTheme="minorEastAsia"/>
                <w:lang w:eastAsia="zh-CN"/>
              </w:rPr>
            </w:pPr>
            <w:r w:rsidRPr="001C7BA1">
              <w:rPr>
                <w:rFonts w:eastAsiaTheme="minorEastAsia"/>
                <w:lang w:eastAsia="zh-CN"/>
              </w:rPr>
              <w:t xml:space="preserve">Resource defined by one subcarrier and one symbol is called as resource element (RE). </w:t>
            </w:r>
          </w:p>
          <w:p w14:paraId="5D0DC31A" w14:textId="77777777" w:rsidR="00A71361" w:rsidRPr="001C7BA1" w:rsidRDefault="00A71361" w:rsidP="00A71361">
            <w:pPr>
              <w:pStyle w:val="ListParagraph"/>
              <w:numPr>
                <w:ilvl w:val="1"/>
                <w:numId w:val="44"/>
              </w:numPr>
              <w:ind w:left="880" w:hanging="440"/>
              <w:rPr>
                <w:rFonts w:eastAsiaTheme="minorEastAsia"/>
                <w:lang w:eastAsia="zh-CN"/>
              </w:rPr>
            </w:pPr>
            <w:r w:rsidRPr="001C7BA1">
              <w:rPr>
                <w:rFonts w:eastAsiaTheme="minorEastAsia" w:hint="eastAsia"/>
                <w:lang w:eastAsia="zh-CN"/>
              </w:rPr>
              <w:t xml:space="preserve">Resource block (RB) is defined </w:t>
            </w:r>
            <w:r w:rsidRPr="001C7BA1">
              <w:rPr>
                <w:rFonts w:eastAsiaTheme="minorEastAsia"/>
                <w:lang w:eastAsia="zh-CN"/>
              </w:rPr>
              <w:t xml:space="preserve">where the number of </w:t>
            </w:r>
            <w:r w:rsidRPr="001C7BA1">
              <w:rPr>
                <w:rFonts w:eastAsiaTheme="minorEastAsia" w:hint="eastAsia"/>
                <w:lang w:eastAsia="zh-CN"/>
              </w:rPr>
              <w:t xml:space="preserve">consecutive </w:t>
            </w:r>
            <w:r w:rsidRPr="001C7BA1">
              <w:rPr>
                <w:rFonts w:eastAsiaTheme="minorEastAsia"/>
                <w:lang w:eastAsia="zh-CN"/>
              </w:rPr>
              <w:t>subcarriers per RB is the same for all numerologies</w:t>
            </w:r>
            <w:r w:rsidRPr="001C7BA1">
              <w:rPr>
                <w:rFonts w:eastAsiaTheme="minorEastAsia" w:hint="eastAsia"/>
                <w:lang w:eastAsia="zh-CN"/>
              </w:rPr>
              <w:t xml:space="preserve"> and</w:t>
            </w:r>
            <w:r w:rsidRPr="001C7BA1">
              <w:rPr>
                <w:rFonts w:eastAsiaTheme="minorEastAsia"/>
                <w:lang w:eastAsia="zh-CN"/>
              </w:rPr>
              <w:t xml:space="preserve"> the number of subcarriers per RB is 12</w:t>
            </w:r>
          </w:p>
          <w:p w14:paraId="7402A99D" w14:textId="77777777" w:rsidR="00A71361" w:rsidRPr="001C7BA1" w:rsidRDefault="00A71361" w:rsidP="00A71361">
            <w:pPr>
              <w:pStyle w:val="ListParagraph"/>
              <w:numPr>
                <w:ilvl w:val="1"/>
                <w:numId w:val="44"/>
              </w:numPr>
              <w:ind w:left="880" w:hanging="440"/>
              <w:rPr>
                <w:rFonts w:eastAsiaTheme="minorEastAsia"/>
                <w:lang w:eastAsia="zh-CN"/>
              </w:rPr>
            </w:pPr>
            <w:r w:rsidRPr="001C7BA1">
              <w:rPr>
                <w:rFonts w:eastAsiaTheme="minorEastAsia" w:hint="eastAsia"/>
                <w:lang w:eastAsia="zh-CN"/>
              </w:rPr>
              <w:t>Radio Frame length is 10ms</w:t>
            </w:r>
          </w:p>
          <w:p w14:paraId="2531DED4" w14:textId="77777777" w:rsidR="00A71361" w:rsidRPr="001C7BA1" w:rsidRDefault="00A71361" w:rsidP="00A71361">
            <w:pPr>
              <w:pStyle w:val="ListParagraph"/>
              <w:numPr>
                <w:ilvl w:val="1"/>
                <w:numId w:val="44"/>
              </w:numPr>
              <w:ind w:left="880" w:hanging="440"/>
              <w:rPr>
                <w:rFonts w:eastAsiaTheme="minorEastAsia"/>
                <w:lang w:eastAsia="zh-CN"/>
              </w:rPr>
            </w:pPr>
            <w:r w:rsidRPr="001C7BA1">
              <w:rPr>
                <w:rFonts w:eastAsiaTheme="minorEastAsia" w:hint="eastAsia"/>
                <w:lang w:eastAsia="zh-CN"/>
              </w:rPr>
              <w:t>E</w:t>
            </w:r>
            <w:r w:rsidRPr="001C7BA1">
              <w:t xml:space="preserve">ach </w:t>
            </w:r>
            <w:r w:rsidRPr="001C7BA1">
              <w:rPr>
                <w:rFonts w:cstheme="minorHAnsi"/>
                <w:szCs w:val="21"/>
              </w:rPr>
              <w:t>radio frame</w:t>
            </w:r>
            <w:r w:rsidRPr="001C7BA1">
              <w:t xml:space="preserve"> is split into 10 subframes, each with a duration of 1 ms</w:t>
            </w:r>
          </w:p>
          <w:p w14:paraId="053E28FC" w14:textId="77777777" w:rsidR="00A71361" w:rsidRPr="001C7BA1" w:rsidRDefault="00A71361" w:rsidP="00A71361">
            <w:pPr>
              <w:pStyle w:val="ListParagraph"/>
              <w:numPr>
                <w:ilvl w:val="1"/>
                <w:numId w:val="44"/>
              </w:numPr>
              <w:ind w:left="880" w:hanging="440"/>
              <w:rPr>
                <w:rFonts w:eastAsiaTheme="minorEastAsia"/>
                <w:lang w:eastAsia="zh-CN"/>
              </w:rPr>
            </w:pPr>
            <w:r w:rsidRPr="001C7BA1">
              <w:rPr>
                <w:rFonts w:eastAsiaTheme="minorEastAsia" w:hint="eastAsia"/>
                <w:lang w:eastAsia="zh-CN"/>
              </w:rPr>
              <w:t>For given SCS and for given symbol, the symbol duration, normal CP length and boundary is same as NR design.</w:t>
            </w:r>
          </w:p>
          <w:p w14:paraId="520266C6" w14:textId="57BF1EE2" w:rsidR="00A71361" w:rsidRPr="004C7255" w:rsidRDefault="00A71361" w:rsidP="00C45264">
            <w:pPr>
              <w:pStyle w:val="ListParagraph"/>
              <w:numPr>
                <w:ilvl w:val="1"/>
                <w:numId w:val="44"/>
              </w:numPr>
              <w:ind w:left="880" w:hanging="440"/>
              <w:rPr>
                <w:rFonts w:eastAsiaTheme="minorEastAsia"/>
                <w:lang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tc>
      </w:tr>
    </w:tbl>
    <w:p w14:paraId="341DDEC7" w14:textId="63C67760" w:rsidR="00A71361" w:rsidRDefault="00BC0336" w:rsidP="00BC0336">
      <w:pPr>
        <w:spacing w:before="240"/>
      </w:pPr>
      <w:r w:rsidRPr="00BC0336">
        <w:t>T</w:t>
      </w:r>
      <w:r>
        <w:t xml:space="preserve">he last bullet of above agreement includes a definition of “slot” aligned with NR. This is beneficial not only from the perspective of efficient MRSS operation but also because it facilitates </w:t>
      </w:r>
      <w:r w:rsidR="001B0277">
        <w:t>defining and coordinating frame formats (e.g. DL/UL pattern), including coordination of interference.</w:t>
      </w:r>
    </w:p>
    <w:p w14:paraId="5CC15A68" w14:textId="21A80B14" w:rsidR="0004169D" w:rsidRDefault="001B0277" w:rsidP="001B0277">
      <w:r>
        <w:t xml:space="preserve">In RAN1#122, the role of “slot” as scheduling unit was discussed. NR configures various durations in units of slots for scheduling purposes, such as scheduling offsets (PDCCH-to-PDSCH, PDCCH-to-PUCCH, PDCCH-to-PUSCH), </w:t>
      </w:r>
      <w:r w:rsidR="003876E4">
        <w:t xml:space="preserve">occasions for </w:t>
      </w:r>
      <w:r w:rsidR="00697639">
        <w:t>PDCCH monitoring</w:t>
      </w:r>
      <w:r w:rsidR="003876E4">
        <w:t xml:space="preserve">, SR, SRS, CSI-RS and P-CSI, hopping, etc. </w:t>
      </w:r>
      <w:r w:rsidR="0004169D">
        <w:t>When necessary, use of units other than slot is supported (e.g. sub-slot for the case of PDCCH-to-PUCCH offset). There is no obvious benefit for 6GR to depart from the NR practice of using “slot” as a time unit whenever convenient.</w:t>
      </w:r>
    </w:p>
    <w:p w14:paraId="3252C4DB" w14:textId="659E04C7" w:rsidR="003F0029" w:rsidRDefault="0004169D" w:rsidP="001B0277">
      <w:r>
        <w:t>However, NR also restricts the time allocation of a single PDSCH or PUSCH transmission to be confined within a single slot</w:t>
      </w:r>
      <w:r w:rsidR="007B4D2E">
        <w:t>.</w:t>
      </w:r>
      <w:r w:rsidR="00414C62">
        <w:t xml:space="preserve"> When the energy from a single PDSCH or PUSCH is insufficient to reach a desired performance target (e.g. when SINR is low), repetitions can be scheduled.</w:t>
      </w:r>
      <w:r w:rsidR="003F0029">
        <w:t xml:space="preserve"> Repetitions imply that each PDSCH or PUSCH has identical time allocation which does not always allow for full resource utilization. </w:t>
      </w:r>
      <w:r w:rsidR="00DD3931">
        <w:t>The restriction of not crossing a slot boundary can also delay scheduling of time-sensitive bursty traffic.</w:t>
      </w:r>
    </w:p>
    <w:p w14:paraId="1CBCDD27" w14:textId="415E4293" w:rsidR="00DD3931" w:rsidRPr="00DD3931" w:rsidRDefault="00DD3931" w:rsidP="00DD3931">
      <w:pPr>
        <w:rPr>
          <w:rFonts w:eastAsia="Batang"/>
          <w:szCs w:val="22"/>
          <w:lang w:eastAsia="x-none"/>
        </w:rPr>
      </w:pPr>
      <w:r w:rsidRPr="00DD3931">
        <w:rPr>
          <w:rFonts w:eastAsia="Batang"/>
          <w:b/>
          <w:bCs/>
          <w:szCs w:val="22"/>
          <w:u w:val="single"/>
          <w:lang w:eastAsia="x-none"/>
        </w:rPr>
        <w:t xml:space="preserve">Proposal </w:t>
      </w:r>
      <w:r w:rsidR="008A0CFA">
        <w:rPr>
          <w:rFonts w:eastAsia="Batang"/>
          <w:b/>
          <w:bCs/>
          <w:szCs w:val="22"/>
          <w:u w:val="single"/>
          <w:lang w:eastAsia="x-none"/>
        </w:rPr>
        <w:t>7</w:t>
      </w:r>
      <w:r w:rsidRPr="00DD3931">
        <w:rPr>
          <w:rFonts w:eastAsia="Batang"/>
          <w:b/>
          <w:bCs/>
          <w:szCs w:val="22"/>
          <w:lang w:eastAsia="x-none"/>
        </w:rPr>
        <w:t>:</w:t>
      </w:r>
      <w:r w:rsidRPr="00DD3931">
        <w:rPr>
          <w:rFonts w:eastAsia="Batang"/>
          <w:szCs w:val="22"/>
          <w:lang w:eastAsia="x-none"/>
        </w:rPr>
        <w:t xml:space="preserve"> </w:t>
      </w:r>
      <w:r w:rsidRPr="00DD3931">
        <w:rPr>
          <w:rFonts w:eastAsia="Batang"/>
          <w:i/>
          <w:iCs/>
          <w:szCs w:val="22"/>
          <w:lang w:eastAsia="x-none"/>
        </w:rPr>
        <w:t>PDSCH and PUSCH transmissions are not constrained to a slot.</w:t>
      </w:r>
    </w:p>
    <w:p w14:paraId="75B11A30" w14:textId="7ED9C681" w:rsidR="00DD3931" w:rsidRPr="00AB20E6" w:rsidRDefault="00DD3931" w:rsidP="00DD3931">
      <w:pPr>
        <w:rPr>
          <w:szCs w:val="22"/>
        </w:rPr>
      </w:pPr>
      <w:r w:rsidRPr="00AB20E6">
        <w:rPr>
          <w:szCs w:val="22"/>
        </w:rPr>
        <w:t xml:space="preserve">6GR is expected to support diverse device types to offer multiple services with different requirements. For example, Hyper Reliable and Low Latency communication and immersive communication are expected to support very low latency compared to broadband mobile communications. It is therefore required to support a </w:t>
      </w:r>
      <w:r w:rsidRPr="00AB20E6">
        <w:rPr>
          <w:szCs w:val="22"/>
        </w:rPr>
        <w:lastRenderedPageBreak/>
        <w:t>scheduling unit tailored for ultra-low latency services as well as for high throughput communication. 5G NR supports both symbol-level scheduling unit and slot-based scheduling unit for the different use cases. To simplify the design, a unified minimum scheduling unit can be supported for 6GR. For example, a minimum 1-symbol scheduling unit can be supported.</w:t>
      </w:r>
    </w:p>
    <w:p w14:paraId="05813F84" w14:textId="49E9C1F5" w:rsidR="00DD3931" w:rsidRPr="00DD3931" w:rsidRDefault="00DD3931" w:rsidP="00DD3931">
      <w:pPr>
        <w:rPr>
          <w:rFonts w:eastAsia="Batang"/>
          <w:szCs w:val="22"/>
          <w:lang w:eastAsia="x-none"/>
        </w:rPr>
      </w:pPr>
      <w:r w:rsidRPr="00DD3931">
        <w:rPr>
          <w:rFonts w:eastAsia="Batang"/>
          <w:b/>
          <w:bCs/>
          <w:szCs w:val="22"/>
          <w:u w:val="single"/>
          <w:lang w:eastAsia="x-none"/>
        </w:rPr>
        <w:t xml:space="preserve">Proposal </w:t>
      </w:r>
      <w:r w:rsidR="008A0CFA">
        <w:rPr>
          <w:rFonts w:eastAsia="Batang"/>
          <w:b/>
          <w:bCs/>
          <w:szCs w:val="22"/>
          <w:u w:val="single"/>
          <w:lang w:eastAsia="x-none"/>
        </w:rPr>
        <w:t>8</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symbol level scheduling</w:t>
      </w:r>
      <w:r w:rsidRPr="00DD3931">
        <w:rPr>
          <w:rFonts w:eastAsia="Batang"/>
          <w:i/>
          <w:iCs/>
          <w:szCs w:val="22"/>
          <w:lang w:eastAsia="x-none"/>
        </w:rPr>
        <w:t>.</w:t>
      </w:r>
    </w:p>
    <w:p w14:paraId="23BB1844" w14:textId="481FB200" w:rsidR="00DD3931" w:rsidRDefault="00AB20E6" w:rsidP="00DD3931">
      <w:pPr>
        <w:rPr>
          <w:szCs w:val="22"/>
        </w:rPr>
      </w:pPr>
      <w:r w:rsidRPr="00AB20E6">
        <w:rPr>
          <w:szCs w:val="22"/>
        </w:rPr>
        <w:t xml:space="preserve">NR supports </w:t>
      </w:r>
      <w:r>
        <w:rPr>
          <w:szCs w:val="22"/>
        </w:rPr>
        <w:t>dynamic indication of timing between PDCCH and corresponding PDSCH (K0) in unit of slots from a configured set of values. Such functionality is useful from perspective of scheduling flexibility and should be also supported in 6GR.</w:t>
      </w:r>
      <w:r w:rsidR="0019308B">
        <w:rPr>
          <w:szCs w:val="22"/>
        </w:rPr>
        <w:t xml:space="preserve"> Whether K0 is to be configured in unit of slots as in NR or in another unit can be discussed at a later stage.</w:t>
      </w:r>
    </w:p>
    <w:p w14:paraId="52848EF4" w14:textId="71F8D01F" w:rsidR="00AB20E6" w:rsidRPr="00DD3931" w:rsidRDefault="00AB20E6" w:rsidP="00AB20E6">
      <w:pPr>
        <w:rPr>
          <w:rFonts w:eastAsia="Batang"/>
          <w:szCs w:val="22"/>
          <w:lang w:eastAsia="x-none"/>
        </w:rPr>
      </w:pPr>
      <w:r w:rsidRPr="00DD3931">
        <w:rPr>
          <w:rFonts w:eastAsia="Batang"/>
          <w:b/>
          <w:bCs/>
          <w:szCs w:val="22"/>
          <w:u w:val="single"/>
          <w:lang w:eastAsia="x-none"/>
        </w:rPr>
        <w:t xml:space="preserve">Proposal </w:t>
      </w:r>
      <w:r w:rsidR="008A0CFA">
        <w:rPr>
          <w:rFonts w:eastAsia="Batang"/>
          <w:b/>
          <w:bCs/>
          <w:szCs w:val="22"/>
          <w:u w:val="single"/>
          <w:lang w:eastAsia="x-none"/>
        </w:rPr>
        <w:t>9</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 xml:space="preserve">6GR supports dynamic indication of </w:t>
      </w:r>
      <w:r w:rsidR="0019308B">
        <w:rPr>
          <w:rFonts w:eastAsia="Batang"/>
          <w:i/>
          <w:iCs/>
          <w:szCs w:val="22"/>
          <w:lang w:eastAsia="x-none"/>
        </w:rPr>
        <w:t>PDCCH-to-PDSCH scheduling offset</w:t>
      </w:r>
      <w:r w:rsidRPr="00DD3931">
        <w:rPr>
          <w:rFonts w:eastAsia="Batang"/>
          <w:i/>
          <w:iCs/>
          <w:szCs w:val="22"/>
          <w:lang w:eastAsia="x-none"/>
        </w:rPr>
        <w:t>.</w:t>
      </w:r>
    </w:p>
    <w:p w14:paraId="61777BD0" w14:textId="0A992719" w:rsidR="0019308B" w:rsidRDefault="0019308B" w:rsidP="0019308B">
      <w:pPr>
        <w:rPr>
          <w:szCs w:val="22"/>
        </w:rPr>
      </w:pPr>
      <w:r>
        <w:rPr>
          <w:szCs w:val="22"/>
        </w:rPr>
        <w:t>In addition, as proposed in companion paper [6], it is useful to support application of minimum PDSCH scheduling offsets to minimize unnecessary standby power consumption at the UE side.</w:t>
      </w:r>
    </w:p>
    <w:p w14:paraId="021BF702" w14:textId="293FF75B" w:rsidR="00C45264" w:rsidRDefault="00C45264" w:rsidP="00C45264">
      <w:pPr>
        <w:pStyle w:val="Heading1"/>
        <w:pBdr>
          <w:top w:val="single" w:sz="12" w:space="5" w:color="auto"/>
        </w:pBdr>
        <w:spacing w:after="120"/>
      </w:pPr>
      <w:r>
        <w:t>MRSS</w:t>
      </w:r>
    </w:p>
    <w:p w14:paraId="21894B6D" w14:textId="77777777" w:rsidR="00680A8B" w:rsidRPr="00C30378" w:rsidRDefault="00680A8B" w:rsidP="00680A8B">
      <w:r w:rsidRPr="00C30378">
        <w:t xml:space="preserve">The study objectives for the 6GR frame structure, as defined in the Study Item on 6G Radio [1], include ensuring compatibility between 5G NR and 6GR to support efficient migration via 5G–6G Multi-RAT Spectrum Sharing (MRSS). The goal is to enable </w:t>
      </w:r>
      <w:r>
        <w:t xml:space="preserve">the </w:t>
      </w:r>
      <w:r w:rsidRPr="00C30378">
        <w:t>coexistence on a common carrier to maximize spectral efficiency and allow a smooth transition from NR to 6GR.</w:t>
      </w:r>
    </w:p>
    <w:p w14:paraId="2B1F5CAE" w14:textId="62081D5B" w:rsidR="00680A8B" w:rsidRDefault="00680A8B" w:rsidP="00680A8B">
      <w:r w:rsidRPr="003D4C6E">
        <w:t>Efficient MRSS operation relies on</w:t>
      </w:r>
      <w:r>
        <w:t xml:space="preserve"> reusing </w:t>
      </w:r>
      <w:r w:rsidR="00E60BB8">
        <w:t xml:space="preserve">or </w:t>
      </w:r>
      <w:r>
        <w:t>sharing the same physical resources between 5G NR and 6GR, without additional guards in time domain or frequency domain while minimizing the cross-RAT interference.</w:t>
      </w:r>
    </w:p>
    <w:p w14:paraId="63678C73" w14:textId="21EA18F8" w:rsidR="00680A8B" w:rsidRDefault="00680A8B" w:rsidP="00680A8B">
      <w:r w:rsidRPr="00FA6625">
        <w:t xml:space="preserve">The agreement </w:t>
      </w:r>
      <w:r w:rsidR="00F615C2">
        <w:t xml:space="preserve">in the </w:t>
      </w:r>
      <w:r w:rsidR="00F2584F" w:rsidRPr="00A71361">
        <w:t>RAN1#122bis</w:t>
      </w:r>
      <w:r w:rsidR="00F2584F" w:rsidRPr="00FA6625">
        <w:t xml:space="preserve"> </w:t>
      </w:r>
      <w:r w:rsidR="00F2584F">
        <w:t xml:space="preserve">to </w:t>
      </w:r>
      <w:r w:rsidRPr="00FA6625">
        <w:t xml:space="preserve">inherit NR </w:t>
      </w:r>
      <w:r w:rsidR="00F2584F">
        <w:t xml:space="preserve">frame </w:t>
      </w:r>
      <w:r w:rsidR="002E0FCF">
        <w:t xml:space="preserve">structure </w:t>
      </w:r>
      <w:r w:rsidR="00F2584F">
        <w:t xml:space="preserve">and </w:t>
      </w:r>
      <w:r w:rsidRPr="00FA6625">
        <w:t>resource definitions as a baseline enables a natural alignment between 5G and 6G in both the time and frequency domains.</w:t>
      </w:r>
      <w:r>
        <w:t xml:space="preserve"> The focus, therefore, can shift to ensuring that the resource grid boundaries, in both time and frequency, are fully aligned </w:t>
      </w:r>
      <w:r w:rsidRPr="00FA6625">
        <w:t>allowing overlapping time–frequency grids that can be dynamically shared without additional guard symbols or frequency separation</w:t>
      </w:r>
      <w:r>
        <w:t xml:space="preserve">. </w:t>
      </w:r>
    </w:p>
    <w:p w14:paraId="168411C4" w14:textId="77777777" w:rsidR="00680A8B" w:rsidRPr="0004451A" w:rsidRDefault="00680A8B" w:rsidP="00680A8B">
      <w:r w:rsidRPr="00560BC8">
        <w:t xml:space="preserve">PRB-level alignment in the frequency domain and symbol-level alignment in the time domain enable </w:t>
      </w:r>
      <w:r>
        <w:t xml:space="preserve">simplified and </w:t>
      </w:r>
      <w:r w:rsidRPr="00560BC8">
        <w:t>efficient coordination of resources between 5G NR and 6GR while minimizing cross-RAT interference. Such alignment eliminates the need for additional guard intervals in either time or frequency, thereby maximizing spectral efficiency.</w:t>
      </w:r>
      <w:r>
        <w:t xml:space="preserve"> </w:t>
      </w:r>
      <w:r w:rsidRPr="0004451A">
        <w:t xml:space="preserve">This, however, implies that MRSS deployments must maintain identical symbol durations (including </w:t>
      </w:r>
      <w:r>
        <w:t xml:space="preserve">CP </w:t>
      </w:r>
      <w:r w:rsidRPr="0004451A">
        <w:t xml:space="preserve">lengths) and use the same subcarrier spacing and reference Point A across 5G NR and 6GR to ensure seamless grid compatibility and enable efficient </w:t>
      </w:r>
      <w:r>
        <w:t>MRSS</w:t>
      </w:r>
      <w:r w:rsidRPr="0004451A">
        <w:t>.</w:t>
      </w:r>
    </w:p>
    <w:p w14:paraId="63AA42F9" w14:textId="77777777" w:rsidR="00680A8B" w:rsidRPr="00B41700" w:rsidRDefault="00680A8B" w:rsidP="00680A8B">
      <w:pPr>
        <w:rPr>
          <w:i/>
          <w:iCs/>
        </w:rPr>
      </w:pPr>
      <w:r w:rsidRPr="001E0AED">
        <w:rPr>
          <w:b/>
          <w:bCs/>
        </w:rPr>
        <w:t>Observation</w:t>
      </w:r>
      <w:r>
        <w:rPr>
          <w:b/>
          <w:bCs/>
        </w:rPr>
        <w:t xml:space="preserve"> 3</w:t>
      </w:r>
      <w:r w:rsidRPr="001E0AED">
        <w:rPr>
          <w:b/>
          <w:bCs/>
        </w:rPr>
        <w:t>:</w:t>
      </w:r>
      <w:r>
        <w:rPr>
          <w:b/>
          <w:bCs/>
        </w:rPr>
        <w:t xml:space="preserve"> </w:t>
      </w:r>
      <w:r w:rsidRPr="00B41700">
        <w:rPr>
          <w:i/>
          <w:iCs/>
        </w:rPr>
        <w:t>Resource grid alignment between 5G NR and 6GR without additional guards enable efficient resource sharing, maximizing spectral efficiency and minimizing cross-RAT interference.</w:t>
      </w:r>
    </w:p>
    <w:p w14:paraId="15D84232" w14:textId="6B4B960F" w:rsidR="00680A8B" w:rsidRPr="00B41700" w:rsidRDefault="00680A8B" w:rsidP="00680A8B">
      <w:pPr>
        <w:rPr>
          <w:i/>
          <w:iCs/>
        </w:rPr>
      </w:pPr>
      <w:r w:rsidRPr="0032524C">
        <w:rPr>
          <w:b/>
          <w:bCs/>
          <w:u w:val="single"/>
        </w:rPr>
        <w:t>Proposal</w:t>
      </w:r>
      <w:r>
        <w:rPr>
          <w:b/>
          <w:bCs/>
          <w:u w:val="single"/>
        </w:rPr>
        <w:t xml:space="preserve"> </w:t>
      </w:r>
      <w:r w:rsidR="008A0CFA">
        <w:rPr>
          <w:b/>
          <w:bCs/>
          <w:u w:val="single"/>
        </w:rPr>
        <w:t>10</w:t>
      </w:r>
      <w:r w:rsidRPr="00EE56C1">
        <w:rPr>
          <w:b/>
          <w:bCs/>
        </w:rPr>
        <w:t>:</w:t>
      </w:r>
      <w:r>
        <w:rPr>
          <w:b/>
          <w:bCs/>
        </w:rPr>
        <w:t xml:space="preserve"> </w:t>
      </w:r>
      <w:r w:rsidRPr="00B41700">
        <w:rPr>
          <w:i/>
          <w:iCs/>
        </w:rPr>
        <w:t>Support symbol-level and PRB-level resource-grid alignment between 5G NR and 6GR frames for MRSS.</w:t>
      </w:r>
    </w:p>
    <w:p w14:paraId="247035AF" w14:textId="77777777" w:rsidR="00680A8B" w:rsidRDefault="00680A8B" w:rsidP="00680A8B">
      <w:r w:rsidRPr="008F5C74">
        <w:t xml:space="preserve">When 5G NR and 6GR share the same carrier, misaligned duplex patterns or TDD switch points can result in </w:t>
      </w:r>
      <w:r>
        <w:t xml:space="preserve">cross-link </w:t>
      </w:r>
      <w:r w:rsidRPr="008F5C74">
        <w:t>interference between uplink and downlink transmissions of different RATs.</w:t>
      </w:r>
      <w:r>
        <w:t xml:space="preserve"> </w:t>
      </w:r>
      <w:r w:rsidRPr="006F3E8A">
        <w:t>Aligning the DL/UL link directions and the TDD switching points across both systems simplifies coexistence and ensures predictable interference behaviour.</w:t>
      </w:r>
    </w:p>
    <w:p w14:paraId="7FC832EB" w14:textId="2782940A" w:rsidR="00680A8B" w:rsidRPr="00B41700" w:rsidRDefault="00680A8B" w:rsidP="00680A8B">
      <w:pPr>
        <w:rPr>
          <w:i/>
          <w:iCs/>
        </w:rPr>
      </w:pPr>
      <w:r w:rsidRPr="0032524C">
        <w:rPr>
          <w:b/>
          <w:bCs/>
          <w:u w:val="single"/>
        </w:rPr>
        <w:t>Proposal</w:t>
      </w:r>
      <w:r>
        <w:rPr>
          <w:b/>
          <w:bCs/>
          <w:u w:val="single"/>
        </w:rPr>
        <w:t xml:space="preserve"> </w:t>
      </w:r>
      <w:r w:rsidR="0019308B">
        <w:rPr>
          <w:b/>
          <w:bCs/>
          <w:u w:val="single"/>
        </w:rPr>
        <w:t>1</w:t>
      </w:r>
      <w:r w:rsidR="008A0CFA">
        <w:rPr>
          <w:b/>
          <w:bCs/>
          <w:u w:val="single"/>
        </w:rPr>
        <w:t>1</w:t>
      </w:r>
      <w:r w:rsidRPr="00EE56C1">
        <w:rPr>
          <w:b/>
          <w:bCs/>
        </w:rPr>
        <w:t>:</w:t>
      </w:r>
      <w:r>
        <w:rPr>
          <w:b/>
          <w:bCs/>
        </w:rPr>
        <w:t xml:space="preserve"> </w:t>
      </w:r>
      <w:r w:rsidRPr="00B41700">
        <w:rPr>
          <w:i/>
          <w:iCs/>
        </w:rPr>
        <w:t>Support aligned TDD patterns between 5G NR and 6GR, including common DL/UL switch points for MRSS.</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58EF7E0A" w14:textId="77777777" w:rsidR="003077AF" w:rsidRPr="00380AAA" w:rsidRDefault="003077AF" w:rsidP="003077AF">
      <w:r w:rsidRPr="00191FF4">
        <w:rPr>
          <w:b/>
          <w:bCs/>
          <w:u w:val="single"/>
        </w:rPr>
        <w:t>Proposal 1</w:t>
      </w:r>
      <w:r w:rsidRPr="00191FF4">
        <w:rPr>
          <w:b/>
          <w:bCs/>
        </w:rPr>
        <w:t>:</w:t>
      </w:r>
      <w:r w:rsidRPr="006469CE">
        <w:rPr>
          <w:b/>
          <w:bCs/>
          <w:i/>
          <w:iCs/>
        </w:rPr>
        <w:t xml:space="preserve"> </w:t>
      </w:r>
      <w:r w:rsidRPr="00191FF4">
        <w:rPr>
          <w:i/>
          <w:iCs/>
        </w:rPr>
        <w:t>6GR only supports normal CP length for communication.</w:t>
      </w:r>
    </w:p>
    <w:p w14:paraId="37D48888" w14:textId="77777777" w:rsidR="003077AF" w:rsidRPr="00C666C2" w:rsidRDefault="003077AF" w:rsidP="003077AF">
      <w:pPr>
        <w:rPr>
          <w:rFonts w:eastAsia="Malgun Gothic"/>
          <w:szCs w:val="22"/>
          <w:lang w:eastAsia="ko-KR"/>
        </w:rPr>
      </w:pPr>
      <w:r w:rsidRPr="00C666C2">
        <w:rPr>
          <w:rFonts w:eastAsia="Malgun Gothic"/>
          <w:b/>
          <w:bCs/>
          <w:szCs w:val="22"/>
          <w:lang w:eastAsia="ko-KR"/>
        </w:rPr>
        <w:lastRenderedPageBreak/>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EE56C1">
        <w:rPr>
          <w:rFonts w:eastAsia="Malgun Gothic"/>
          <w:i/>
          <w:iCs/>
          <w:szCs w:val="22"/>
          <w:lang w:eastAsia="ko-KR"/>
        </w:rPr>
        <w:t>Supporting flexible allocation of DL/UL resources is important to meet higher performance targets of 6GR.</w:t>
      </w:r>
    </w:p>
    <w:p w14:paraId="1CCF66F0" w14:textId="77777777" w:rsidR="003077AF" w:rsidRPr="00C666C2" w:rsidRDefault="003077AF" w:rsidP="003077AF">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C666C2">
        <w:rPr>
          <w:rFonts w:eastAsia="Malgun Gothic"/>
          <w:i/>
          <w:iCs/>
          <w:szCs w:val="22"/>
          <w:lang w:eastAsia="ko-KR"/>
        </w:rPr>
        <w:t>Defining a distinct ‘X’ symbol/slot type enables native SBFD operation and a unified signaling structure for 6GR, simplifying NR Rel-19’s override-based design and providing forward compatibility toward dynamic duplex schemes.</w:t>
      </w:r>
    </w:p>
    <w:p w14:paraId="0F3780C6" w14:textId="77777777" w:rsidR="003077AF" w:rsidRPr="00C666C2" w:rsidRDefault="003077AF" w:rsidP="003077AF">
      <w:pPr>
        <w:rPr>
          <w:rFonts w:eastAsia="Malgun Gothic"/>
          <w:b/>
          <w:bCs/>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2</w:t>
      </w:r>
      <w:r w:rsidRPr="00C666C2">
        <w:rPr>
          <w:rFonts w:eastAsia="Malgun Gothic"/>
          <w:b/>
          <w:bCs/>
          <w:szCs w:val="22"/>
          <w:lang w:eastAsia="ko-KR"/>
        </w:rPr>
        <w:t>:</w:t>
      </w:r>
      <w:r w:rsidRPr="00C666C2">
        <w:rPr>
          <w:rFonts w:eastAsia="Malgun Gothic"/>
          <w:b/>
          <w:bCs/>
          <w:i/>
          <w:iCs/>
          <w:szCs w:val="22"/>
          <w:lang w:eastAsia="ko-KR"/>
        </w:rPr>
        <w:t xml:space="preserve"> </w:t>
      </w:r>
      <w:r w:rsidRPr="00C666C2">
        <w:rPr>
          <w:rFonts w:eastAsia="Malgun Gothic"/>
          <w:i/>
          <w:iCs/>
          <w:szCs w:val="22"/>
          <w:lang w:eastAsia="ko-KR"/>
        </w:rPr>
        <w:t>Support three primary symbol/slot types (‘D’, ‘U’, ‘X’) in 6GR frame format configuration or indication, to natively support SBFD and ensure extensibility to dynamic-TDD and dynamic-SBFD operations</w:t>
      </w:r>
      <w:r w:rsidRPr="00C666C2">
        <w:rPr>
          <w:rFonts w:eastAsia="Malgun Gothic" w:hint="eastAsia"/>
          <w:i/>
          <w:iCs/>
          <w:szCs w:val="22"/>
          <w:lang w:eastAsia="ko-KR"/>
        </w:rPr>
        <w:t>.</w:t>
      </w:r>
    </w:p>
    <w:p w14:paraId="30D39D43" w14:textId="77777777" w:rsidR="003077AF" w:rsidRPr="00C666C2" w:rsidRDefault="003077AF" w:rsidP="003077AF">
      <w:pPr>
        <w:rPr>
          <w:rFonts w:eastAsia="Malgun Gothic"/>
          <w:i/>
          <w:iCs/>
          <w:szCs w:val="22"/>
          <w:lang w:eastAsia="ko-KR"/>
        </w:rPr>
      </w:pPr>
      <w:r w:rsidRPr="00C666C2">
        <w:rPr>
          <w:rFonts w:eastAsia="Malgun Gothic"/>
          <w:b/>
          <w:bCs/>
          <w:szCs w:val="22"/>
          <w:u w:val="single"/>
          <w:lang w:eastAsia="ko-KR"/>
        </w:rPr>
        <w:t>Proposal 3</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 at least dynamic TDD and gNB semi-static SBFD for 6G Day-1</w:t>
      </w:r>
      <w:r w:rsidRPr="00C666C2">
        <w:rPr>
          <w:rFonts w:eastAsia="Malgun Gothic" w:hint="eastAsia"/>
          <w:i/>
          <w:iCs/>
          <w:szCs w:val="22"/>
          <w:lang w:eastAsia="ko-KR"/>
        </w:rPr>
        <w:t>.</w:t>
      </w:r>
    </w:p>
    <w:p w14:paraId="0C79CD51" w14:textId="77777777" w:rsidR="003077AF" w:rsidRPr="00EE56C1" w:rsidRDefault="003077AF" w:rsidP="003077AF">
      <w:pPr>
        <w:rPr>
          <w:rFonts w:eastAsia="Malgun Gothic"/>
          <w:b/>
          <w:bCs/>
          <w:i/>
          <w:iCs/>
          <w:szCs w:val="22"/>
          <w:lang w:eastAsia="ko-KR"/>
        </w:rPr>
      </w:pPr>
      <w:r w:rsidRPr="00EE56C1">
        <w:rPr>
          <w:rFonts w:eastAsia="Malgun Gothic"/>
          <w:b/>
          <w:bCs/>
          <w:szCs w:val="22"/>
          <w:u w:val="single"/>
          <w:lang w:eastAsia="ko-KR"/>
        </w:rPr>
        <w:t>Proposal 4</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 xml:space="preserve">Support dynamic indication of frame pattern for dynamic TDD. </w:t>
      </w:r>
    </w:p>
    <w:p w14:paraId="4F80D0BE" w14:textId="77777777" w:rsidR="003077AF" w:rsidRPr="00C666C2" w:rsidRDefault="003077AF" w:rsidP="003077AF">
      <w:pPr>
        <w:rPr>
          <w:rFonts w:eastAsia="Malgun Gothic"/>
          <w:b/>
          <w:bCs/>
          <w:i/>
          <w:iCs/>
          <w:szCs w:val="22"/>
          <w:lang w:eastAsia="ko-KR"/>
        </w:rPr>
      </w:pPr>
      <w:r w:rsidRPr="00EE56C1">
        <w:rPr>
          <w:rFonts w:eastAsia="Malgun Gothic"/>
          <w:b/>
          <w:bCs/>
          <w:szCs w:val="22"/>
          <w:u w:val="single"/>
          <w:lang w:eastAsia="ko-KR"/>
        </w:rPr>
        <w:t>Proposal 5</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Support UE-specific configuration and indication of frame pattern.</w:t>
      </w:r>
      <w:r>
        <w:rPr>
          <w:rFonts w:eastAsia="Malgun Gothic"/>
          <w:i/>
          <w:iCs/>
          <w:szCs w:val="22"/>
          <w:lang w:eastAsia="ko-KR"/>
        </w:rPr>
        <w:t xml:space="preserve"> </w:t>
      </w:r>
    </w:p>
    <w:p w14:paraId="52017F18" w14:textId="77777777" w:rsidR="003077AF" w:rsidRPr="00C666C2" w:rsidRDefault="003077AF" w:rsidP="003077AF">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tudy gNB-side dynamic SBFD as a duplex enhancement scheme for 6GR</w:t>
      </w:r>
      <w:r w:rsidRPr="00C666C2">
        <w:rPr>
          <w:rFonts w:eastAsia="Malgun Gothic" w:hint="eastAsia"/>
          <w:i/>
          <w:iCs/>
          <w:szCs w:val="22"/>
          <w:lang w:eastAsia="ko-KR"/>
        </w:rPr>
        <w:t>.</w:t>
      </w:r>
    </w:p>
    <w:p w14:paraId="1FC3A2F4" w14:textId="77777777" w:rsidR="003077AF" w:rsidRPr="00DD3931" w:rsidRDefault="003077AF" w:rsidP="003077AF">
      <w:pPr>
        <w:rPr>
          <w:rFonts w:eastAsia="Batang"/>
          <w:szCs w:val="22"/>
          <w:lang w:eastAsia="x-none"/>
        </w:rPr>
      </w:pPr>
      <w:r w:rsidRPr="00DD3931">
        <w:rPr>
          <w:rFonts w:eastAsia="Batang"/>
          <w:b/>
          <w:bCs/>
          <w:szCs w:val="22"/>
          <w:u w:val="single"/>
          <w:lang w:eastAsia="x-none"/>
        </w:rPr>
        <w:t xml:space="preserve">Proposal </w:t>
      </w:r>
      <w:r>
        <w:rPr>
          <w:rFonts w:eastAsia="Batang"/>
          <w:b/>
          <w:bCs/>
          <w:szCs w:val="22"/>
          <w:u w:val="single"/>
          <w:lang w:eastAsia="x-none"/>
        </w:rPr>
        <w:t>7</w:t>
      </w:r>
      <w:r w:rsidRPr="00DD3931">
        <w:rPr>
          <w:rFonts w:eastAsia="Batang"/>
          <w:b/>
          <w:bCs/>
          <w:szCs w:val="22"/>
          <w:lang w:eastAsia="x-none"/>
        </w:rPr>
        <w:t>:</w:t>
      </w:r>
      <w:r w:rsidRPr="00DD3931">
        <w:rPr>
          <w:rFonts w:eastAsia="Batang"/>
          <w:szCs w:val="22"/>
          <w:lang w:eastAsia="x-none"/>
        </w:rPr>
        <w:t xml:space="preserve"> </w:t>
      </w:r>
      <w:r w:rsidRPr="00DD3931">
        <w:rPr>
          <w:rFonts w:eastAsia="Batang"/>
          <w:i/>
          <w:iCs/>
          <w:szCs w:val="22"/>
          <w:lang w:eastAsia="x-none"/>
        </w:rPr>
        <w:t>PDSCH and PUSCH transmissions are not constrained to a slot.</w:t>
      </w:r>
    </w:p>
    <w:p w14:paraId="08D03BBF" w14:textId="77777777" w:rsidR="003077AF" w:rsidRPr="00DD3931" w:rsidRDefault="003077AF" w:rsidP="003077AF">
      <w:pPr>
        <w:rPr>
          <w:rFonts w:eastAsia="Batang"/>
          <w:szCs w:val="22"/>
          <w:lang w:eastAsia="x-none"/>
        </w:rPr>
      </w:pPr>
      <w:r w:rsidRPr="00DD3931">
        <w:rPr>
          <w:rFonts w:eastAsia="Batang"/>
          <w:b/>
          <w:bCs/>
          <w:szCs w:val="22"/>
          <w:u w:val="single"/>
          <w:lang w:eastAsia="x-none"/>
        </w:rPr>
        <w:t xml:space="preserve">Proposal </w:t>
      </w:r>
      <w:r>
        <w:rPr>
          <w:rFonts w:eastAsia="Batang"/>
          <w:b/>
          <w:bCs/>
          <w:szCs w:val="22"/>
          <w:u w:val="single"/>
          <w:lang w:eastAsia="x-none"/>
        </w:rPr>
        <w:t>8</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symbol level scheduling</w:t>
      </w:r>
      <w:r w:rsidRPr="00DD3931">
        <w:rPr>
          <w:rFonts w:eastAsia="Batang"/>
          <w:i/>
          <w:iCs/>
          <w:szCs w:val="22"/>
          <w:lang w:eastAsia="x-none"/>
        </w:rPr>
        <w:t>.</w:t>
      </w:r>
    </w:p>
    <w:p w14:paraId="490DBA13" w14:textId="77777777" w:rsidR="003077AF" w:rsidRDefault="003077AF" w:rsidP="003077AF">
      <w:pPr>
        <w:rPr>
          <w:rFonts w:eastAsia="Batang"/>
          <w:i/>
          <w:iCs/>
          <w:szCs w:val="22"/>
          <w:lang w:eastAsia="x-none"/>
        </w:rPr>
      </w:pPr>
      <w:r w:rsidRPr="00DD3931">
        <w:rPr>
          <w:rFonts w:eastAsia="Batang"/>
          <w:b/>
          <w:bCs/>
          <w:szCs w:val="22"/>
          <w:u w:val="single"/>
          <w:lang w:eastAsia="x-none"/>
        </w:rPr>
        <w:t xml:space="preserve">Proposal </w:t>
      </w:r>
      <w:r>
        <w:rPr>
          <w:rFonts w:eastAsia="Batang"/>
          <w:b/>
          <w:bCs/>
          <w:szCs w:val="22"/>
          <w:u w:val="single"/>
          <w:lang w:eastAsia="x-none"/>
        </w:rPr>
        <w:t>9</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dynamic indication of PDCCH-to-PDSCH scheduling offset</w:t>
      </w:r>
      <w:r w:rsidRPr="00DD3931">
        <w:rPr>
          <w:rFonts w:eastAsia="Batang"/>
          <w:i/>
          <w:iCs/>
          <w:szCs w:val="22"/>
          <w:lang w:eastAsia="x-none"/>
        </w:rPr>
        <w:t>.</w:t>
      </w:r>
    </w:p>
    <w:p w14:paraId="09B34F9E" w14:textId="77777777" w:rsidR="003077AF" w:rsidRPr="00B41700" w:rsidRDefault="003077AF" w:rsidP="003077AF">
      <w:pPr>
        <w:rPr>
          <w:i/>
          <w:iCs/>
        </w:rPr>
      </w:pPr>
      <w:r w:rsidRPr="001E0AED">
        <w:rPr>
          <w:b/>
          <w:bCs/>
        </w:rPr>
        <w:t>Observation</w:t>
      </w:r>
      <w:r>
        <w:rPr>
          <w:b/>
          <w:bCs/>
        </w:rPr>
        <w:t xml:space="preserve"> 3</w:t>
      </w:r>
      <w:r w:rsidRPr="001E0AED">
        <w:rPr>
          <w:b/>
          <w:bCs/>
        </w:rPr>
        <w:t>:</w:t>
      </w:r>
      <w:r>
        <w:rPr>
          <w:b/>
          <w:bCs/>
        </w:rPr>
        <w:t xml:space="preserve"> </w:t>
      </w:r>
      <w:r w:rsidRPr="00B41700">
        <w:rPr>
          <w:i/>
          <w:iCs/>
        </w:rPr>
        <w:t>Resource grid alignment between 5G NR and 6GR without additional guards enable efficient resource sharing, maximizing spectral efficiency and minimizing cross-RAT interference.</w:t>
      </w:r>
    </w:p>
    <w:p w14:paraId="4DBB95CE" w14:textId="77777777" w:rsidR="003077AF" w:rsidRPr="00B41700" w:rsidRDefault="003077AF" w:rsidP="003077AF">
      <w:pPr>
        <w:rPr>
          <w:i/>
          <w:iCs/>
        </w:rPr>
      </w:pPr>
      <w:r w:rsidRPr="0032524C">
        <w:rPr>
          <w:b/>
          <w:bCs/>
          <w:u w:val="single"/>
        </w:rPr>
        <w:t>Proposal</w:t>
      </w:r>
      <w:r>
        <w:rPr>
          <w:b/>
          <w:bCs/>
          <w:u w:val="single"/>
        </w:rPr>
        <w:t xml:space="preserve"> 10</w:t>
      </w:r>
      <w:r w:rsidRPr="00EE56C1">
        <w:rPr>
          <w:b/>
          <w:bCs/>
        </w:rPr>
        <w:t>:</w:t>
      </w:r>
      <w:r>
        <w:rPr>
          <w:b/>
          <w:bCs/>
        </w:rPr>
        <w:t xml:space="preserve"> </w:t>
      </w:r>
      <w:r w:rsidRPr="00B41700">
        <w:rPr>
          <w:i/>
          <w:iCs/>
        </w:rPr>
        <w:t>Support symbol-level and PRB-level resource-grid alignment between 5G NR and 6GR frames for MRSS.</w:t>
      </w:r>
    </w:p>
    <w:p w14:paraId="2AFD0CDA" w14:textId="77777777" w:rsidR="003077AF" w:rsidRPr="00B41700" w:rsidRDefault="003077AF" w:rsidP="003077AF">
      <w:pPr>
        <w:rPr>
          <w:i/>
          <w:iCs/>
        </w:rPr>
      </w:pPr>
      <w:r w:rsidRPr="0032524C">
        <w:rPr>
          <w:b/>
          <w:bCs/>
          <w:u w:val="single"/>
        </w:rPr>
        <w:t>Proposal</w:t>
      </w:r>
      <w:r>
        <w:rPr>
          <w:b/>
          <w:bCs/>
          <w:u w:val="single"/>
        </w:rPr>
        <w:t xml:space="preserve"> 11</w:t>
      </w:r>
      <w:r w:rsidRPr="00EE56C1">
        <w:rPr>
          <w:b/>
          <w:bCs/>
        </w:rPr>
        <w:t>:</w:t>
      </w:r>
      <w:r>
        <w:rPr>
          <w:b/>
          <w:bCs/>
        </w:rPr>
        <w:t xml:space="preserve"> </w:t>
      </w:r>
      <w:r w:rsidRPr="00B41700">
        <w:rPr>
          <w:i/>
          <w:iCs/>
        </w:rPr>
        <w:t>Support aligned TDD patterns between 5G NR and 6GR, including common DL/UL switch points for MRSS.</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107FB918" w14:textId="687A406A" w:rsidR="008C4A13" w:rsidRDefault="008C4A13"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R1-2508199, “FL summary for Frame Structure (Final)”, Moderator (CMCC).</w:t>
      </w:r>
      <w:bookmarkEnd w:id="4"/>
      <w:bookmarkEnd w:id="5"/>
      <w:bookmarkEnd w:id="6"/>
      <w:bookmarkEnd w:id="7"/>
    </w:p>
    <w:p w14:paraId="286C9E7D" w14:textId="77E6AA26" w:rsidR="00380AAA" w:rsidRDefault="00380AAA"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3GPP TR38.811, “Study on New Radio to support non terrestrial networks”, v15.0.0.</w:t>
      </w:r>
    </w:p>
    <w:p w14:paraId="4D26694F" w14:textId="26FCA345" w:rsidR="001D5C19" w:rsidRDefault="001D5C1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R1-2506753, “Frame Structure and Numerology in 6G Radio Air Interface”, Nokia.</w:t>
      </w:r>
    </w:p>
    <w:p w14:paraId="1DFF6887" w14:textId="2825B479" w:rsidR="001D5C19" w:rsidRDefault="001D5C1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R1-2212993, “Final Summary on evaluation on NR duplex evolution”, Moderator (CMCC).</w:t>
      </w:r>
    </w:p>
    <w:p w14:paraId="1BCDC246" w14:textId="176809CD" w:rsidR="0019308B" w:rsidRPr="00624E6B" w:rsidRDefault="0019308B"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R1-2508646, “Energy Efficiency in 6GR”, InterDigital, Inc.</w:t>
      </w:r>
    </w:p>
    <w:sectPr w:rsidR="0019308B" w:rsidRPr="00624E6B" w:rsidSect="00D55085">
      <w:headerReference w:type="even" r:id="rId18"/>
      <w:headerReference w:type="default" r:id="rId19"/>
      <w:footerReference w:type="even" r:id="rId20"/>
      <w:footerReference w:type="default" r:id="rId21"/>
      <w:footerReference w:type="firs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4F0E" w14:textId="77777777" w:rsidR="00163AA3" w:rsidRDefault="00163AA3">
      <w:r>
        <w:separator/>
      </w:r>
    </w:p>
  </w:endnote>
  <w:endnote w:type="continuationSeparator" w:id="0">
    <w:p w14:paraId="48857459" w14:textId="77777777" w:rsidR="00163AA3" w:rsidRDefault="00163AA3">
      <w:r>
        <w:continuationSeparator/>
      </w:r>
    </w:p>
  </w:endnote>
  <w:endnote w:type="continuationNotice" w:id="1">
    <w:p w14:paraId="5BACBBF0" w14:textId="77777777" w:rsidR="00163AA3" w:rsidRDefault="00163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DDD8" w14:textId="77777777" w:rsidR="00163AA3" w:rsidRDefault="00163AA3">
      <w:r>
        <w:separator/>
      </w:r>
    </w:p>
  </w:footnote>
  <w:footnote w:type="continuationSeparator" w:id="0">
    <w:p w14:paraId="1E9A611B" w14:textId="77777777" w:rsidR="00163AA3" w:rsidRDefault="00163AA3">
      <w:r>
        <w:continuationSeparator/>
      </w:r>
    </w:p>
  </w:footnote>
  <w:footnote w:type="continuationNotice" w:id="1">
    <w:p w14:paraId="4EE6D0D5" w14:textId="77777777" w:rsidR="00163AA3" w:rsidRDefault="00163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1C75D5"/>
    <w:multiLevelType w:val="hybridMultilevel"/>
    <w:tmpl w:val="6A9AF936"/>
    <w:lvl w:ilvl="0" w:tplc="26B2D2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767264"/>
    <w:multiLevelType w:val="hybridMultilevel"/>
    <w:tmpl w:val="A890486A"/>
    <w:lvl w:ilvl="0" w:tplc="032ADE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D47C4"/>
    <w:multiLevelType w:val="hybridMultilevel"/>
    <w:tmpl w:val="070805D6"/>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AE79D2"/>
    <w:multiLevelType w:val="hybridMultilevel"/>
    <w:tmpl w:val="BEA43822"/>
    <w:lvl w:ilvl="0" w:tplc="B9FC98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5"/>
  </w:num>
  <w:num w:numId="3" w16cid:durableId="1519151789">
    <w:abstractNumId w:val="18"/>
  </w:num>
  <w:num w:numId="4" w16cid:durableId="1934044786">
    <w:abstractNumId w:val="19"/>
  </w:num>
  <w:num w:numId="5" w16cid:durableId="1435324944">
    <w:abstractNumId w:val="14"/>
  </w:num>
  <w:num w:numId="6" w16cid:durableId="1922372000">
    <w:abstractNumId w:val="21"/>
  </w:num>
  <w:num w:numId="7" w16cid:durableId="1083601651">
    <w:abstractNumId w:val="27"/>
  </w:num>
  <w:num w:numId="8" w16cid:durableId="49505293">
    <w:abstractNumId w:val="16"/>
  </w:num>
  <w:num w:numId="9" w16cid:durableId="947472016">
    <w:abstractNumId w:val="44"/>
  </w:num>
  <w:num w:numId="10" w16cid:durableId="468060315">
    <w:abstractNumId w:val="9"/>
  </w:num>
  <w:num w:numId="11" w16cid:durableId="358511164">
    <w:abstractNumId w:val="12"/>
  </w:num>
  <w:num w:numId="12" w16cid:durableId="1758941740">
    <w:abstractNumId w:val="31"/>
  </w:num>
  <w:num w:numId="13" w16cid:durableId="110901978">
    <w:abstractNumId w:val="28"/>
  </w:num>
  <w:num w:numId="14" w16cid:durableId="752551463">
    <w:abstractNumId w:val="30"/>
  </w:num>
  <w:num w:numId="15" w16cid:durableId="1738281961">
    <w:abstractNumId w:val="38"/>
  </w:num>
  <w:num w:numId="16" w16cid:durableId="831218355">
    <w:abstractNumId w:val="42"/>
  </w:num>
  <w:num w:numId="17" w16cid:durableId="1485582577">
    <w:abstractNumId w:val="23"/>
  </w:num>
  <w:num w:numId="18" w16cid:durableId="1688405876">
    <w:abstractNumId w:val="11"/>
  </w:num>
  <w:num w:numId="19" w16cid:durableId="595671673">
    <w:abstractNumId w:val="33"/>
  </w:num>
  <w:num w:numId="20" w16cid:durableId="381178554">
    <w:abstractNumId w:val="22"/>
  </w:num>
  <w:num w:numId="21" w16cid:durableId="1515420346">
    <w:abstractNumId w:val="0"/>
  </w:num>
  <w:num w:numId="22" w16cid:durableId="2087459430">
    <w:abstractNumId w:val="32"/>
  </w:num>
  <w:num w:numId="23" w16cid:durableId="2101372328">
    <w:abstractNumId w:val="36"/>
  </w:num>
  <w:num w:numId="24" w16cid:durableId="1359886836">
    <w:abstractNumId w:val="35"/>
  </w:num>
  <w:num w:numId="25" w16cid:durableId="71204629">
    <w:abstractNumId w:val="29"/>
  </w:num>
  <w:num w:numId="26" w16cid:durableId="725295725">
    <w:abstractNumId w:val="41"/>
  </w:num>
  <w:num w:numId="27" w16cid:durableId="1747527591">
    <w:abstractNumId w:val="34"/>
  </w:num>
  <w:num w:numId="28" w16cid:durableId="1419525978">
    <w:abstractNumId w:val="4"/>
  </w:num>
  <w:num w:numId="29" w16cid:durableId="1534806105">
    <w:abstractNumId w:val="3"/>
  </w:num>
  <w:num w:numId="30" w16cid:durableId="1868984830">
    <w:abstractNumId w:val="13"/>
  </w:num>
  <w:num w:numId="31" w16cid:durableId="1427581010">
    <w:abstractNumId w:val="2"/>
  </w:num>
  <w:num w:numId="32" w16cid:durableId="581722885">
    <w:abstractNumId w:val="10"/>
  </w:num>
  <w:num w:numId="33" w16cid:durableId="897281722">
    <w:abstractNumId w:val="15"/>
  </w:num>
  <w:num w:numId="34" w16cid:durableId="628046527">
    <w:abstractNumId w:val="39"/>
  </w:num>
  <w:num w:numId="35" w16cid:durableId="3017690">
    <w:abstractNumId w:val="7"/>
  </w:num>
  <w:num w:numId="36" w16cid:durableId="1822229755">
    <w:abstractNumId w:val="43"/>
  </w:num>
  <w:num w:numId="37" w16cid:durableId="1810322941">
    <w:abstractNumId w:val="17"/>
  </w:num>
  <w:num w:numId="38" w16cid:durableId="80564087">
    <w:abstractNumId w:val="40"/>
  </w:num>
  <w:num w:numId="39" w16cid:durableId="1590189002">
    <w:abstractNumId w:val="6"/>
  </w:num>
  <w:num w:numId="40" w16cid:durableId="1237784013">
    <w:abstractNumId w:val="20"/>
  </w:num>
  <w:num w:numId="41" w16cid:durableId="1687058727">
    <w:abstractNumId w:val="5"/>
  </w:num>
  <w:num w:numId="42" w16cid:durableId="1244947355">
    <w:abstractNumId w:val="24"/>
  </w:num>
  <w:num w:numId="43" w16cid:durableId="1265455544">
    <w:abstractNumId w:val="26"/>
  </w:num>
  <w:num w:numId="44" w16cid:durableId="920715853">
    <w:abstractNumId w:val="8"/>
  </w:num>
  <w:num w:numId="45" w16cid:durableId="192577318">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www.w3.org/XML/1998/namespace"/>
    <ds:schemaRef ds:uri="http://schemas.microsoft.com/office/infopath/2007/PartnerControls"/>
    <ds:schemaRef ds:uri="http://purl.org/dc/dcmitype/"/>
    <ds:schemaRef ds:uri="http://purl.org/dc/term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582</TotalTime>
  <Pages>7</Pages>
  <Words>2961</Words>
  <Characters>16123</Characters>
  <Application>Microsoft Office Word</Application>
  <DocSecurity>0</DocSecurity>
  <Lines>255</Lines>
  <Paragraphs>115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37</cp:revision>
  <cp:lastPrinted>2015-11-06T16:56:00Z</cp:lastPrinted>
  <dcterms:created xsi:type="dcterms:W3CDTF">2025-10-30T02:22:00Z</dcterms:created>
  <dcterms:modified xsi:type="dcterms:W3CDTF">2025-11-07T19:39:00Z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